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charts/chart1.xml" ContentType="application/vnd.openxmlformats-officedocument.drawingml.chart+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77B" w:rsidRDefault="007C177B" w:rsidP="000C53C2">
      <w:pPr>
        <w:spacing w:line="480" w:lineRule="auto"/>
        <w:jc w:val="center"/>
        <w:rPr>
          <w:lang w:val="en-US"/>
        </w:rPr>
      </w:pPr>
      <w:bookmarkStart w:id="0" w:name="_GoBack"/>
      <w:bookmarkEnd w:id="0"/>
    </w:p>
    <w:p w:rsidR="000C53C2" w:rsidRPr="003956D0" w:rsidRDefault="000C53C2" w:rsidP="000C53C2">
      <w:pPr>
        <w:spacing w:line="480" w:lineRule="auto"/>
        <w:jc w:val="center"/>
        <w:rPr>
          <w:lang w:val="en-US"/>
        </w:rPr>
      </w:pPr>
      <w:r w:rsidRPr="003956D0">
        <w:rPr>
          <w:lang w:val="en-US"/>
        </w:rPr>
        <w:t>Reductions in risk based on time offense free in the community:</w:t>
      </w:r>
    </w:p>
    <w:p w:rsidR="000C53C2" w:rsidRPr="003956D0" w:rsidRDefault="000C53C2" w:rsidP="000C53C2">
      <w:pPr>
        <w:spacing w:line="480" w:lineRule="auto"/>
        <w:jc w:val="center"/>
        <w:rPr>
          <w:lang w:val="en-US"/>
        </w:rPr>
      </w:pPr>
      <w:r w:rsidRPr="003956D0">
        <w:rPr>
          <w:lang w:val="en-US"/>
        </w:rPr>
        <w:t>Once a sexual offender, not always a sexual offender</w:t>
      </w:r>
    </w:p>
    <w:p w:rsidR="000C53C2" w:rsidRPr="003956D0" w:rsidRDefault="000C53C2" w:rsidP="000C53C2">
      <w:pPr>
        <w:spacing w:line="480" w:lineRule="auto"/>
        <w:jc w:val="center"/>
        <w:rPr>
          <w:lang w:val="en-US"/>
        </w:rPr>
      </w:pPr>
      <w:r w:rsidRPr="003956D0">
        <w:rPr>
          <w:lang w:val="en-US"/>
        </w:rPr>
        <w:t>R. Karl Hanson</w:t>
      </w:r>
    </w:p>
    <w:p w:rsidR="000C53C2" w:rsidRPr="003956D0" w:rsidRDefault="000C53C2" w:rsidP="000C53C2">
      <w:pPr>
        <w:spacing w:line="480" w:lineRule="auto"/>
        <w:jc w:val="center"/>
        <w:rPr>
          <w:lang w:val="en-US"/>
        </w:rPr>
      </w:pPr>
      <w:r w:rsidRPr="003956D0">
        <w:rPr>
          <w:lang w:val="en-US"/>
        </w:rPr>
        <w:t>Public Safety Canada</w:t>
      </w:r>
    </w:p>
    <w:p w:rsidR="000C53C2" w:rsidRPr="003956D0" w:rsidRDefault="000C53C2" w:rsidP="000C53C2">
      <w:pPr>
        <w:spacing w:line="480" w:lineRule="auto"/>
        <w:jc w:val="center"/>
        <w:rPr>
          <w:lang w:val="en-US"/>
        </w:rPr>
      </w:pPr>
      <w:r w:rsidRPr="003956D0">
        <w:rPr>
          <w:lang w:val="en-US"/>
        </w:rPr>
        <w:t>Andrew J. R. Harris</w:t>
      </w:r>
    </w:p>
    <w:p w:rsidR="000C53C2" w:rsidRPr="003956D0" w:rsidRDefault="000C53C2" w:rsidP="000C53C2">
      <w:pPr>
        <w:spacing w:line="480" w:lineRule="auto"/>
        <w:jc w:val="center"/>
        <w:rPr>
          <w:lang w:val="en-US"/>
        </w:rPr>
      </w:pPr>
      <w:r w:rsidRPr="003956D0">
        <w:rPr>
          <w:lang w:val="en-US"/>
        </w:rPr>
        <w:t>offenderrisk.com</w:t>
      </w:r>
    </w:p>
    <w:p w:rsidR="000C53C2" w:rsidRPr="003956D0" w:rsidRDefault="000C53C2" w:rsidP="000C53C2">
      <w:pPr>
        <w:spacing w:line="480" w:lineRule="auto"/>
        <w:jc w:val="center"/>
        <w:rPr>
          <w:lang w:val="en-US"/>
        </w:rPr>
      </w:pPr>
      <w:r w:rsidRPr="003956D0">
        <w:rPr>
          <w:lang w:val="en-US"/>
        </w:rPr>
        <w:t>Elizabeth Letourneau</w:t>
      </w:r>
    </w:p>
    <w:p w:rsidR="000C53C2" w:rsidRPr="003956D0" w:rsidRDefault="000C53C2" w:rsidP="000C53C2">
      <w:pPr>
        <w:spacing w:line="480" w:lineRule="auto"/>
        <w:jc w:val="center"/>
        <w:rPr>
          <w:lang w:val="en-US"/>
        </w:rPr>
      </w:pPr>
      <w:r w:rsidRPr="003956D0">
        <w:rPr>
          <w:lang w:val="en-US"/>
        </w:rPr>
        <w:t>Johns Hopkins University</w:t>
      </w:r>
    </w:p>
    <w:p w:rsidR="000C53C2" w:rsidRPr="003956D0" w:rsidRDefault="000C53C2" w:rsidP="000C53C2">
      <w:pPr>
        <w:spacing w:line="480" w:lineRule="auto"/>
        <w:jc w:val="center"/>
        <w:rPr>
          <w:lang w:val="en-US"/>
        </w:rPr>
      </w:pPr>
      <w:r w:rsidRPr="003956D0">
        <w:rPr>
          <w:lang w:val="en-US"/>
        </w:rPr>
        <w:t>L. Maaike Helmus</w:t>
      </w:r>
    </w:p>
    <w:p w:rsidR="000C53C2" w:rsidRPr="003956D0" w:rsidRDefault="000C53C2" w:rsidP="000C53C2">
      <w:pPr>
        <w:spacing w:line="480" w:lineRule="auto"/>
        <w:jc w:val="center"/>
        <w:rPr>
          <w:lang w:val="en-US"/>
        </w:rPr>
      </w:pPr>
      <w:r w:rsidRPr="003956D0">
        <w:rPr>
          <w:lang w:val="en-US"/>
        </w:rPr>
        <w:t>Victoria University of Wellington</w:t>
      </w:r>
    </w:p>
    <w:p w:rsidR="000C53C2" w:rsidRPr="003956D0" w:rsidRDefault="000C53C2" w:rsidP="000C53C2">
      <w:pPr>
        <w:spacing w:line="480" w:lineRule="auto"/>
        <w:jc w:val="center"/>
        <w:rPr>
          <w:lang w:val="en-US"/>
        </w:rPr>
      </w:pPr>
      <w:r w:rsidRPr="003956D0">
        <w:rPr>
          <w:lang w:val="en-US"/>
        </w:rPr>
        <w:t>David Thornton</w:t>
      </w:r>
    </w:p>
    <w:p w:rsidR="000C53C2" w:rsidRDefault="000C53C2" w:rsidP="000C53C2">
      <w:pPr>
        <w:spacing w:line="480" w:lineRule="auto"/>
        <w:jc w:val="center"/>
        <w:rPr>
          <w:lang w:val="en-US"/>
        </w:rPr>
      </w:pPr>
      <w:r w:rsidRPr="003956D0">
        <w:rPr>
          <w:lang w:val="en-US"/>
        </w:rPr>
        <w:t>Madison, Wisconsin</w:t>
      </w:r>
    </w:p>
    <w:p w:rsidR="00E03462" w:rsidRDefault="00E03462" w:rsidP="000C53C2">
      <w:pPr>
        <w:spacing w:line="480" w:lineRule="auto"/>
        <w:jc w:val="center"/>
        <w:rPr>
          <w:lang w:val="en-US"/>
        </w:rPr>
      </w:pPr>
    </w:p>
    <w:p w:rsidR="00E03462" w:rsidRDefault="00E03462" w:rsidP="000C53C2">
      <w:pPr>
        <w:spacing w:line="480" w:lineRule="auto"/>
        <w:jc w:val="center"/>
        <w:rPr>
          <w:lang w:val="en-US"/>
        </w:rPr>
      </w:pPr>
    </w:p>
    <w:p w:rsidR="00E03462" w:rsidRDefault="00E03462" w:rsidP="000C53C2">
      <w:pPr>
        <w:spacing w:line="480" w:lineRule="auto"/>
        <w:jc w:val="center"/>
        <w:rPr>
          <w:lang w:val="en-US"/>
        </w:rPr>
      </w:pPr>
    </w:p>
    <w:p w:rsidR="00E03462" w:rsidRDefault="00E03462" w:rsidP="00E03462">
      <w:pPr>
        <w:spacing w:line="480" w:lineRule="auto"/>
        <w:ind w:firstLine="720"/>
        <w:rPr>
          <w:sz w:val="22"/>
          <w:szCs w:val="22"/>
        </w:rPr>
      </w:pPr>
      <w:r>
        <w:rPr>
          <w:i/>
          <w:sz w:val="22"/>
          <w:szCs w:val="22"/>
          <w:lang w:val="en-US"/>
        </w:rPr>
        <w:t xml:space="preserve">Psychology, Public Policy and Law </w:t>
      </w:r>
      <w:r>
        <w:rPr>
          <w:sz w:val="22"/>
          <w:szCs w:val="22"/>
          <w:lang w:val="en-US"/>
        </w:rPr>
        <w:t xml:space="preserve">(in press, May 8, 2017) </w:t>
      </w:r>
      <w:r>
        <w:rPr>
          <w:sz w:val="22"/>
          <w:szCs w:val="22"/>
        </w:rPr>
        <w:t>[H:\  studies]</w:t>
      </w:r>
      <w:r w:rsidRPr="00F817D9">
        <w:rPr>
          <w:sz w:val="22"/>
          <w:szCs w:val="22"/>
        </w:rPr>
        <w:t xml:space="preserve"> </w:t>
      </w:r>
    </w:p>
    <w:p w:rsidR="00E03462" w:rsidRPr="00E03462" w:rsidRDefault="00E03462" w:rsidP="000C53C2">
      <w:pPr>
        <w:spacing w:line="480" w:lineRule="auto"/>
        <w:jc w:val="center"/>
      </w:pPr>
    </w:p>
    <w:p w:rsidR="00E03462" w:rsidRPr="003956D0" w:rsidRDefault="00E03462" w:rsidP="000C53C2">
      <w:pPr>
        <w:spacing w:line="480" w:lineRule="auto"/>
        <w:jc w:val="center"/>
        <w:rPr>
          <w:lang w:val="en-US"/>
        </w:rPr>
      </w:pPr>
    </w:p>
    <w:p w:rsidR="008C6166" w:rsidRDefault="008C6166">
      <w:pPr>
        <w:rPr>
          <w:sz w:val="22"/>
          <w:szCs w:val="22"/>
          <w:lang w:val="en-US"/>
        </w:rPr>
      </w:pPr>
      <w:r>
        <w:rPr>
          <w:sz w:val="22"/>
          <w:szCs w:val="22"/>
          <w:lang w:val="en-US"/>
        </w:rPr>
        <w:br w:type="page"/>
      </w:r>
    </w:p>
    <w:p w:rsidR="00E03462" w:rsidRDefault="00E03462">
      <w:pPr>
        <w:rPr>
          <w:sz w:val="22"/>
          <w:szCs w:val="22"/>
          <w:lang w:val="en-US"/>
        </w:rPr>
      </w:pPr>
    </w:p>
    <w:p w:rsidR="008C6166" w:rsidRDefault="008C6166" w:rsidP="000C53C2">
      <w:pPr>
        <w:spacing w:line="480" w:lineRule="auto"/>
        <w:ind w:firstLine="720"/>
        <w:rPr>
          <w:sz w:val="22"/>
          <w:szCs w:val="22"/>
          <w:lang w:val="en-US"/>
        </w:rPr>
      </w:pPr>
      <w:r>
        <w:rPr>
          <w:sz w:val="22"/>
          <w:szCs w:val="22"/>
          <w:lang w:val="en-US"/>
        </w:rPr>
        <w:t>Author Note</w:t>
      </w:r>
    </w:p>
    <w:p w:rsidR="000C53C2" w:rsidRDefault="000C53C2" w:rsidP="000C53C2">
      <w:pPr>
        <w:spacing w:line="480" w:lineRule="auto"/>
        <w:ind w:firstLine="720"/>
        <w:rPr>
          <w:sz w:val="22"/>
          <w:szCs w:val="22"/>
          <w:lang w:val="en-US"/>
        </w:rPr>
      </w:pPr>
      <w:r w:rsidRPr="00F817D9">
        <w:rPr>
          <w:sz w:val="22"/>
          <w:szCs w:val="22"/>
          <w:lang w:val="en-US"/>
        </w:rPr>
        <w:t xml:space="preserve">We would like to thank </w:t>
      </w:r>
      <w:r w:rsidRPr="00F817D9">
        <w:rPr>
          <w:sz w:val="22"/>
          <w:szCs w:val="22"/>
        </w:rPr>
        <w:t>Alfred Allan, Tony Beech, Susanne Bengtson, Jacques Bigras, Sasha Boer, Jim Bonta, Sébastien Brouillette-Alarie, Franca Cortoni, Jackie Craissati, Margretta Dwyer, Reinhard Eher, Doug Epperson, Tina Garby, Randy Grace, Steve Gray, Andy Haag, Leigh Harkins, Steve Johansen, Ray Knight, Kevin Nunes, Niklas Långström, Terry Nicholaichuk, Jean Proulx, Martin Rettenberger, Rebecca Swinburne Romine, Daryl Ternowski, Robin Wilson, and Annie Yessine</w:t>
      </w:r>
      <w:r w:rsidRPr="00F817D9">
        <w:rPr>
          <w:sz w:val="22"/>
          <w:szCs w:val="22"/>
          <w:lang w:val="en-US"/>
        </w:rPr>
        <w:t xml:space="preserve"> for permission to use their data, and Seung C. Lee and Andrew E. Brankley for help with the  analyses. </w:t>
      </w:r>
    </w:p>
    <w:p w:rsidR="00397BD1" w:rsidRPr="0019703A" w:rsidRDefault="008C6166" w:rsidP="000C53C2">
      <w:pPr>
        <w:spacing w:line="480" w:lineRule="auto"/>
        <w:ind w:firstLine="720"/>
        <w:rPr>
          <w:sz w:val="22"/>
          <w:szCs w:val="22"/>
          <w:lang w:val="en-US"/>
        </w:rPr>
      </w:pPr>
      <w:r>
        <w:rPr>
          <w:sz w:val="22"/>
          <w:szCs w:val="22"/>
          <w:lang w:val="en-US"/>
        </w:rPr>
        <w:t xml:space="preserve">An </w:t>
      </w:r>
      <w:r w:rsidRPr="0019703A">
        <w:rPr>
          <w:sz w:val="22"/>
          <w:szCs w:val="22"/>
          <w:lang w:val="en-US"/>
        </w:rPr>
        <w:t>e</w:t>
      </w:r>
      <w:r w:rsidR="00B03ED5" w:rsidRPr="0019703A">
        <w:rPr>
          <w:sz w:val="22"/>
          <w:szCs w:val="22"/>
          <w:lang w:val="en-US"/>
        </w:rPr>
        <w:t>arlier version of this study w</w:t>
      </w:r>
      <w:r w:rsidRPr="0019703A">
        <w:rPr>
          <w:sz w:val="22"/>
          <w:szCs w:val="22"/>
          <w:lang w:val="en-US"/>
        </w:rPr>
        <w:t>as</w:t>
      </w:r>
      <w:r w:rsidR="00B03ED5" w:rsidRPr="0019703A">
        <w:rPr>
          <w:sz w:val="22"/>
          <w:szCs w:val="22"/>
          <w:lang w:val="en-US"/>
        </w:rPr>
        <w:t xml:space="preserve"> presented</w:t>
      </w:r>
      <w:r w:rsidRPr="0019703A">
        <w:rPr>
          <w:sz w:val="22"/>
          <w:szCs w:val="22"/>
          <w:lang w:val="en-US"/>
        </w:rPr>
        <w:t xml:space="preserve"> by</w:t>
      </w:r>
      <w:r w:rsidR="00B03ED5" w:rsidRPr="0019703A">
        <w:rPr>
          <w:sz w:val="22"/>
          <w:szCs w:val="22"/>
          <w:lang w:val="en-US"/>
        </w:rPr>
        <w:t xml:space="preserve"> </w:t>
      </w:r>
      <w:r w:rsidRPr="0019703A">
        <w:rPr>
          <w:sz w:val="22"/>
          <w:szCs w:val="22"/>
          <w:lang w:val="en-US"/>
        </w:rPr>
        <w:t xml:space="preserve">A. J. R. Harris and R. K. Hanson </w:t>
      </w:r>
      <w:r w:rsidR="00B03ED5" w:rsidRPr="0019703A">
        <w:rPr>
          <w:sz w:val="22"/>
          <w:szCs w:val="22"/>
          <w:lang w:val="en-US"/>
        </w:rPr>
        <w:t>at the 29</w:t>
      </w:r>
      <w:r w:rsidR="00B03ED5" w:rsidRPr="0019703A">
        <w:rPr>
          <w:sz w:val="22"/>
          <w:szCs w:val="22"/>
          <w:vertAlign w:val="superscript"/>
          <w:lang w:val="en-US"/>
        </w:rPr>
        <w:t>th</w:t>
      </w:r>
      <w:r w:rsidR="00B03ED5" w:rsidRPr="0019703A">
        <w:rPr>
          <w:sz w:val="22"/>
          <w:szCs w:val="22"/>
          <w:lang w:val="en-US"/>
        </w:rPr>
        <w:t xml:space="preserve"> Annual Research and Treatment Conference of the Association for the Treatment of Sexual Abusers (October, 2010, Phoenix, AZ) and </w:t>
      </w:r>
      <w:r w:rsidR="00A96DD9" w:rsidRPr="0019703A">
        <w:rPr>
          <w:sz w:val="22"/>
          <w:szCs w:val="22"/>
          <w:lang w:val="en-US"/>
        </w:rPr>
        <w:t xml:space="preserve">included in </w:t>
      </w:r>
      <w:r w:rsidRPr="0019703A">
        <w:rPr>
          <w:sz w:val="22"/>
          <w:szCs w:val="22"/>
          <w:lang w:val="en-US"/>
        </w:rPr>
        <w:t xml:space="preserve">a </w:t>
      </w:r>
      <w:r w:rsidR="0019703A">
        <w:rPr>
          <w:sz w:val="22"/>
          <w:szCs w:val="22"/>
          <w:lang w:val="en-US"/>
        </w:rPr>
        <w:t xml:space="preserve">declaration </w:t>
      </w:r>
      <w:r w:rsidRPr="0019703A">
        <w:rPr>
          <w:sz w:val="22"/>
          <w:szCs w:val="22"/>
          <w:lang w:val="en-US"/>
        </w:rPr>
        <w:t>by</w:t>
      </w:r>
      <w:r w:rsidR="00397BD1" w:rsidRPr="0019703A">
        <w:rPr>
          <w:sz w:val="22"/>
          <w:szCs w:val="22"/>
          <w:lang w:val="en-US"/>
        </w:rPr>
        <w:t xml:space="preserve"> R. K. Hanson for the </w:t>
      </w:r>
      <w:r w:rsidR="00397BD1" w:rsidRPr="0019703A">
        <w:rPr>
          <w:sz w:val="22"/>
          <w:szCs w:val="22"/>
        </w:rPr>
        <w:t>U.S. District Court for the Northern District of California (2012, Doe v. Harris</w:t>
      </w:r>
      <w:r w:rsidR="0019703A">
        <w:rPr>
          <w:sz w:val="22"/>
          <w:szCs w:val="22"/>
        </w:rPr>
        <w:t xml:space="preserve"> [i</w:t>
      </w:r>
      <w:r w:rsidR="00397BD1" w:rsidRPr="0019703A">
        <w:rPr>
          <w:sz w:val="22"/>
          <w:szCs w:val="22"/>
        </w:rPr>
        <w:t xml:space="preserve">nternet </w:t>
      </w:r>
      <w:r w:rsidR="0019703A">
        <w:rPr>
          <w:sz w:val="22"/>
          <w:szCs w:val="22"/>
        </w:rPr>
        <w:t>f</w:t>
      </w:r>
      <w:r w:rsidR="00397BD1" w:rsidRPr="0019703A">
        <w:rPr>
          <w:sz w:val="22"/>
          <w:szCs w:val="22"/>
        </w:rPr>
        <w:t xml:space="preserve">ree </w:t>
      </w:r>
      <w:r w:rsidR="0019703A">
        <w:rPr>
          <w:sz w:val="22"/>
          <w:szCs w:val="22"/>
        </w:rPr>
        <w:t>s</w:t>
      </w:r>
      <w:r w:rsidR="00397BD1" w:rsidRPr="0019703A">
        <w:rPr>
          <w:sz w:val="22"/>
          <w:szCs w:val="22"/>
        </w:rPr>
        <w:t>peech</w:t>
      </w:r>
      <w:r w:rsidR="0019703A">
        <w:rPr>
          <w:sz w:val="22"/>
          <w:szCs w:val="22"/>
        </w:rPr>
        <w:t>]</w:t>
      </w:r>
      <w:r w:rsidR="00397BD1" w:rsidRPr="0019703A">
        <w:rPr>
          <w:sz w:val="22"/>
          <w:szCs w:val="22"/>
        </w:rPr>
        <w:t xml:space="preserve">).  </w:t>
      </w:r>
    </w:p>
    <w:p w:rsidR="000C53C2" w:rsidRDefault="008C6166" w:rsidP="000C53C2">
      <w:pPr>
        <w:spacing w:line="480" w:lineRule="auto"/>
        <w:ind w:firstLine="720"/>
        <w:rPr>
          <w:sz w:val="22"/>
          <w:szCs w:val="22"/>
          <w:lang w:val="en-US"/>
        </w:rPr>
      </w:pPr>
      <w:r w:rsidRPr="0019703A">
        <w:rPr>
          <w:sz w:val="22"/>
          <w:szCs w:val="22"/>
          <w:lang w:val="en-US"/>
        </w:rPr>
        <w:t xml:space="preserve"> </w:t>
      </w:r>
      <w:r w:rsidR="000C53C2" w:rsidRPr="0019703A">
        <w:rPr>
          <w:sz w:val="22"/>
          <w:szCs w:val="22"/>
          <w:lang w:val="en-US"/>
        </w:rPr>
        <w:t>The views expres</w:t>
      </w:r>
      <w:r w:rsidR="000C53C2" w:rsidRPr="00F817D9">
        <w:rPr>
          <w:sz w:val="22"/>
          <w:szCs w:val="22"/>
          <w:lang w:val="en-US"/>
        </w:rPr>
        <w:t xml:space="preserve">sed are those of the authors and not necessary those of Public Safety Canada. Correspondence concerning this article should be addressed to R. Karl Hanson, </w:t>
      </w:r>
      <w:r w:rsidR="00044BE9">
        <w:rPr>
          <w:sz w:val="22"/>
          <w:szCs w:val="22"/>
          <w:lang w:val="en-US"/>
        </w:rPr>
        <w:t>Psychology Department, Carleton University, 1125 Colonel By Drive, Ottawa, Ontario, K1S 5B6</w:t>
      </w:r>
      <w:r w:rsidR="00304CD9">
        <w:rPr>
          <w:sz w:val="22"/>
          <w:szCs w:val="22"/>
          <w:lang w:val="en-US"/>
        </w:rPr>
        <w:t>,</w:t>
      </w:r>
      <w:r w:rsidR="000C53C2" w:rsidRPr="00F817D9">
        <w:rPr>
          <w:sz w:val="22"/>
          <w:szCs w:val="22"/>
          <w:lang w:val="en-US"/>
        </w:rPr>
        <w:t xml:space="preserve"> Canada. </w:t>
      </w:r>
      <w:r w:rsidR="00304CD9">
        <w:rPr>
          <w:sz w:val="22"/>
          <w:szCs w:val="22"/>
          <w:lang w:val="en-US"/>
        </w:rPr>
        <w:t xml:space="preserve">Email: </w:t>
      </w:r>
      <w:hyperlink r:id="rId8" w:history="1">
        <w:r w:rsidR="00E03462" w:rsidRPr="00134CBC">
          <w:rPr>
            <w:rStyle w:val="Hyperlink"/>
            <w:sz w:val="22"/>
            <w:szCs w:val="22"/>
            <w:lang w:val="en-US"/>
          </w:rPr>
          <w:t>rkarlhanson@gmail.com</w:t>
        </w:r>
      </w:hyperlink>
    </w:p>
    <w:p w:rsidR="00E03462" w:rsidRDefault="00E03462">
      <w:pPr>
        <w:rPr>
          <w:sz w:val="22"/>
          <w:szCs w:val="22"/>
        </w:rPr>
      </w:pPr>
      <w:r>
        <w:rPr>
          <w:sz w:val="22"/>
          <w:szCs w:val="22"/>
        </w:rPr>
        <w:br w:type="page"/>
      </w:r>
    </w:p>
    <w:p w:rsidR="000C53C2" w:rsidRPr="003956D0" w:rsidRDefault="000C53C2" w:rsidP="000C53C2">
      <w:pPr>
        <w:spacing w:line="480" w:lineRule="auto"/>
        <w:jc w:val="center"/>
        <w:outlineLvl w:val="0"/>
        <w:rPr>
          <w:b/>
          <w:lang w:val="en-US"/>
        </w:rPr>
      </w:pPr>
      <w:r w:rsidRPr="003956D0">
        <w:rPr>
          <w:b/>
          <w:lang w:val="en-US"/>
        </w:rPr>
        <w:lastRenderedPageBreak/>
        <w:t>Abstract</w:t>
      </w:r>
    </w:p>
    <w:p w:rsidR="000C53C2" w:rsidRPr="003956D0" w:rsidRDefault="000C53C2" w:rsidP="000C53C2">
      <w:pPr>
        <w:spacing w:line="480" w:lineRule="auto"/>
        <w:rPr>
          <w:lang w:val="en-US"/>
        </w:rPr>
      </w:pPr>
      <w:r w:rsidRPr="003956D0">
        <w:rPr>
          <w:lang w:val="en-US"/>
        </w:rPr>
        <w:t xml:space="preserve">Whereas there is a common assumption that most individuals with a criminal record can be eventually reintegrated into the community, the public has different expectations for sexual offenders. In many countries, individuals with a history of sexual offences are subject to a wide range of long-term restrictions on housing and employment, as well as public notification measures intended to prevent them from merging unnoticed into the population of law-abiding citizens. </w:t>
      </w:r>
      <w:r w:rsidRPr="003956D0">
        <w:t>This paper examines the testable assumption that individuals with a history of sexual crime present an enduring risk for sexual recidivism. We modelled the long-term (25 year) risk of sexual recidivism in a large, combined sample (</w:t>
      </w:r>
      <w:r w:rsidR="00D911A8" w:rsidRPr="00D911A8">
        <w:rPr>
          <w:i/>
        </w:rPr>
        <w:t>N</w:t>
      </w:r>
      <w:r w:rsidR="00D911A8">
        <w:rPr>
          <w:i/>
        </w:rPr>
        <w:t xml:space="preserve"> </w:t>
      </w:r>
      <w:r w:rsidRPr="003956D0">
        <w:t xml:space="preserve"> &gt; 7,000). We found that the likelihood of new sexual offenses declined the longer individuals with a history of sexual offending remain sexual offense free in the community. This effect was found for all age groups and all initial risk levels. Nonsexual offending during the follow-up period increased the risk of subsequent sexual recidivism independent of the time free effect. After 10 to 15 years, most individuals with a history of sexual offenses were no more likely to commit a new sexual offense than individuals with a criminal history that did not include sexual offenses. Consequently, policies designed to manage the risk of sexual recidivism need to include mechanisms to adjust initial risk classifications and determine time periods where individuals with a history of sexual crime should be released from the conditions and restrictions associated with the “sexual offender” label. </w:t>
      </w:r>
    </w:p>
    <w:p w:rsidR="000C53C2" w:rsidRPr="003956D0" w:rsidRDefault="000C53C2" w:rsidP="000C53C2">
      <w:pPr>
        <w:spacing w:line="480" w:lineRule="auto"/>
        <w:rPr>
          <w:lang w:val="en-US"/>
        </w:rPr>
      </w:pPr>
    </w:p>
    <w:p w:rsidR="000C53C2" w:rsidRPr="003956D0" w:rsidRDefault="000C53C2" w:rsidP="000C53C2">
      <w:pPr>
        <w:spacing w:line="480" w:lineRule="auto"/>
        <w:rPr>
          <w:lang w:val="en-US"/>
        </w:rPr>
      </w:pPr>
      <w:r w:rsidRPr="003956D0">
        <w:rPr>
          <w:lang w:val="en-US"/>
        </w:rPr>
        <w:br w:type="page"/>
      </w:r>
    </w:p>
    <w:p w:rsidR="000C53C2" w:rsidRPr="003956D0" w:rsidRDefault="000C53C2" w:rsidP="000C53C2">
      <w:pPr>
        <w:spacing w:line="480" w:lineRule="auto"/>
        <w:jc w:val="center"/>
        <w:rPr>
          <w:lang w:val="en-US"/>
        </w:rPr>
      </w:pPr>
      <w:r w:rsidRPr="003956D0">
        <w:rPr>
          <w:lang w:val="en-US"/>
        </w:rPr>
        <w:t>REDUCTIONS IN RISK BASED ON TIME OFFENSE FREE IN THE COMMUNITY: ONCE A SEXUAL OFFENDER, NOT ALWAYS A SEXUAL OFFENDER</w:t>
      </w:r>
    </w:p>
    <w:p w:rsidR="000C53C2" w:rsidRPr="003956D0" w:rsidRDefault="000C53C2" w:rsidP="000C53C2">
      <w:pPr>
        <w:spacing w:line="480" w:lineRule="auto"/>
        <w:ind w:firstLine="720"/>
      </w:pPr>
      <w:r w:rsidRPr="003956D0">
        <w:t>Sexual violence is a serious public health problem (Pereda</w:t>
      </w:r>
      <w:r w:rsidR="00057BF3">
        <w:t>, Guilera, Forns</w:t>
      </w:r>
      <w:r w:rsidR="00F541C8">
        <w:t>,</w:t>
      </w:r>
      <w:r w:rsidR="00057BF3">
        <w:t xml:space="preserve"> &amp; Gómez-Benito,</w:t>
      </w:r>
      <w:r w:rsidRPr="003956D0">
        <w:t xml:space="preserve"> 2009; </w:t>
      </w:r>
      <w:r w:rsidRPr="003956D0">
        <w:rPr>
          <w:lang w:val="sv-SE"/>
        </w:rPr>
        <w:t>Stoltenborgh</w:t>
      </w:r>
      <w:r w:rsidR="00057BF3">
        <w:rPr>
          <w:lang w:val="sv-SE"/>
        </w:rPr>
        <w:t>, van Ijzendoorn, Euser, &amp; Bakermans-Kraneburg</w:t>
      </w:r>
      <w:r w:rsidRPr="003956D0">
        <w:rPr>
          <w:lang w:val="sv-SE"/>
        </w:rPr>
        <w:t xml:space="preserve">, 2011; World Health Organization, 2013) </w:t>
      </w:r>
      <w:r w:rsidRPr="003956D0">
        <w:t>that increases the likelihood of mental, physical, and behavioral health problems across the life course (Campbell &amp; Wasco, 2005; Chen et al., 2010; Hillberg, Hamilton-Giachritsis, &amp; Dixon, 2011; Kendler et al., 2000; Maniglio, 2009; Nelson et al., 2002; Paras et al., 2009; World Health Organization, 2013). Not surprisingly, there is strong public support for severe, lengthy criminal sanctions (Lynch, 2002), and long-term social control policies for individuals convicted of sexual offenses (Levenson</w:t>
      </w:r>
      <w:r w:rsidR="00057BF3">
        <w:t>, Brannon, Fortney, &amp; Baker</w:t>
      </w:r>
      <w:r w:rsidRPr="003956D0">
        <w:t>, 2007; Lieb, 2003; Mears</w:t>
      </w:r>
      <w:r w:rsidR="00057BF3">
        <w:t>, Mancini, Gertz, &amp; Bratton</w:t>
      </w:r>
      <w:r w:rsidRPr="003956D0">
        <w:t xml:space="preserve">, 2008). Policy-makers’ concerns about the lifelong, enduring risk presented by individuals with a history of sexual crime has resulted in diverse social control mechanisms that apply uniquely to sexual offenders, such as sexual offender registries, community notification, and residency restrictions (Laws, 2016; Letourneau &amp; Levenson, 2010; Logan, 2009). </w:t>
      </w:r>
    </w:p>
    <w:p w:rsidR="000C53C2" w:rsidRPr="003956D0" w:rsidRDefault="000C53C2" w:rsidP="000C53C2">
      <w:pPr>
        <w:spacing w:line="480" w:lineRule="auto"/>
        <w:ind w:firstLine="720"/>
      </w:pPr>
      <w:r w:rsidRPr="003956D0">
        <w:t xml:space="preserve">This paper examines the testable assumption that </w:t>
      </w:r>
      <w:r w:rsidR="00F541C8">
        <w:t xml:space="preserve">adult </w:t>
      </w:r>
      <w:r w:rsidRPr="003956D0">
        <w:t>males who have been convicted of a sexual offense actually present an enduring risk for sexual recidivism (for information on individuals who have committed sexual offences as youths, see Caldwell, 2016). Currently, there is consensus that the recidivism risk of individuals convicted of nonsexual offenses declines the longer they remain offense free in the community (Blumstein &amp; Nakamura, 2009; Bushway, Nieuwbeerta, &amp; Blokland, 2011; Kurlychek, Bushway, &amp; Brame, 2012). To quote Kurlychek</w:t>
      </w:r>
      <w:r w:rsidR="005D34C8">
        <w:t xml:space="preserve"> et al. </w:t>
      </w:r>
      <w:r w:rsidRPr="003956D0">
        <w:t>(2012):</w:t>
      </w:r>
    </w:p>
    <w:p w:rsidR="000C53C2" w:rsidRPr="003956D0" w:rsidRDefault="000C53C2" w:rsidP="000C53C2">
      <w:pPr>
        <w:spacing w:line="480" w:lineRule="auto"/>
        <w:ind w:left="432" w:right="432"/>
      </w:pPr>
      <w:r w:rsidRPr="003956D0">
        <w:t xml:space="preserve">The general tendency for recidivism risk to decline over time is among the best replicated results in empirical criminology. It is probably not an exaggeration to say that any recidivism study with more than a 2- or 3-year follow-up period that did not find a downward-sloping marginal hazard would be immediately suspect (p. 75). </w:t>
      </w:r>
    </w:p>
    <w:p w:rsidR="000C53C2" w:rsidRPr="003956D0" w:rsidRDefault="000C53C2" w:rsidP="000C53C2">
      <w:pPr>
        <w:spacing w:line="480" w:lineRule="auto"/>
      </w:pPr>
      <w:r w:rsidRPr="003956D0">
        <w:t xml:space="preserve">These “time offense free” effects are congruent with the criminal justice systems of most Western democracies, in which there is an expectation and public acceptance that most individuals who have been convicted of a crime can be successfully reintegrated into society. The same expectation and acceptance does not hold for sexual offenders. </w:t>
      </w:r>
    </w:p>
    <w:p w:rsidR="000C53C2" w:rsidRPr="003956D0" w:rsidRDefault="000C53C2" w:rsidP="000C53C2">
      <w:pPr>
        <w:spacing w:line="480" w:lineRule="auto"/>
        <w:ind w:firstLine="720"/>
      </w:pPr>
      <w:r w:rsidRPr="003956D0">
        <w:t>The modern wave of sex crime policy can be dated to the 1980’s and early 1990’s, typically introduced in direct response to sexually motived murders of children by recidivistic offenders (e.g., Joseph Fredericks [Petrunik &amp; Weisman, 2005] in Canada; the kidnapping and murders of Megan Kanka and Jacob Wetterling in the US). These and other rare but horrific offenses were highly publicized, contributing to what some have called a “panic” about sexually violent predators (Logan, 2009, p. 86) and cementing views about individuals with a history of sexual crime as uniformly high risk for recidivism and resistant to rehabilitation (A. J. Harris &amp; Socia, 2016). America in the 1980’s and early 1990</w:t>
      </w:r>
      <w:r w:rsidR="00F541C8">
        <w:t>’</w:t>
      </w:r>
      <w:r w:rsidRPr="003956D0">
        <w:t xml:space="preserve">s was also faced with seemingly unstoppable increases in violent crime rates, accompanied by a shift in US sentiment toward punitiveness (Lynch, 2002). Also contributing to the rapid, widespread propagation of these sex crime policies was increased US federal involvement in state criminal law, and increasingly effective citizen demands on politicians to ‘do something’ to address sexual offending, often by the parents of child victims (Logan, 2009; Zimring, 2009). The net result was public protection policies that uniquely targeted individuals convicted of sexual offenses: post-release civil commitment, registration, public notification, and residence, employment, and education restrictions (Laws, 2016; Letourneau &amp; Levenson, 2010; Logan, 2009; Zimring, 2009). </w:t>
      </w:r>
    </w:p>
    <w:p w:rsidR="000C53C2" w:rsidRPr="003956D0" w:rsidRDefault="000C53C2" w:rsidP="000C53C2">
      <w:pPr>
        <w:pStyle w:val="CommentText"/>
        <w:spacing w:line="480" w:lineRule="auto"/>
        <w:jc w:val="center"/>
        <w:outlineLvl w:val="0"/>
        <w:rPr>
          <w:b/>
          <w:sz w:val="24"/>
          <w:szCs w:val="24"/>
        </w:rPr>
      </w:pPr>
      <w:r w:rsidRPr="003956D0">
        <w:rPr>
          <w:b/>
          <w:sz w:val="24"/>
          <w:szCs w:val="24"/>
        </w:rPr>
        <w:t>Rates of Sexual Recidivism</w:t>
      </w:r>
    </w:p>
    <w:p w:rsidR="000C53C2" w:rsidRPr="003956D0" w:rsidRDefault="000C53C2" w:rsidP="000C53C2">
      <w:pPr>
        <w:pStyle w:val="CommentText"/>
        <w:spacing w:line="480" w:lineRule="auto"/>
        <w:rPr>
          <w:sz w:val="24"/>
          <w:szCs w:val="24"/>
        </w:rPr>
      </w:pPr>
      <w:r w:rsidRPr="003956D0">
        <w:rPr>
          <w:b/>
          <w:sz w:val="24"/>
          <w:szCs w:val="24"/>
        </w:rPr>
        <w:tab/>
      </w:r>
      <w:r w:rsidRPr="003956D0">
        <w:rPr>
          <w:sz w:val="24"/>
          <w:szCs w:val="24"/>
        </w:rPr>
        <w:t>Follow-up studies of adult males with a history of sexual crime typically find sexual recidivism rates of between 5% and 15% after five years, and between 10% and 25% after 10 years (see reviews by Hanson &amp; Bussière, 1998; A. J. R. Harris &amp; Hanson, 2004; Helmus, Hanson</w:t>
      </w:r>
      <w:r w:rsidR="00057BF3">
        <w:rPr>
          <w:sz w:val="24"/>
          <w:szCs w:val="24"/>
        </w:rPr>
        <w:t>, Thornton, Babchishin, &amp; Harris</w:t>
      </w:r>
      <w:r w:rsidRPr="003956D0">
        <w:rPr>
          <w:sz w:val="24"/>
          <w:szCs w:val="24"/>
        </w:rPr>
        <w:t xml:space="preserve">, 2012). These observed rates underestimate the real recidivism rates because not all sexual offenses are reported and available in the databases used by researchers. Nevertheless, these rates do not support the popular belief that sexual offenders inevitably reoffend. </w:t>
      </w:r>
    </w:p>
    <w:p w:rsidR="000C53C2" w:rsidRPr="003956D0" w:rsidRDefault="000C53C2" w:rsidP="000C53C2">
      <w:pPr>
        <w:pStyle w:val="CommentText"/>
        <w:spacing w:line="480" w:lineRule="auto"/>
        <w:rPr>
          <w:sz w:val="24"/>
          <w:szCs w:val="24"/>
        </w:rPr>
      </w:pPr>
      <w:r w:rsidRPr="003956D0">
        <w:rPr>
          <w:sz w:val="24"/>
          <w:szCs w:val="24"/>
        </w:rPr>
        <w:tab/>
        <w:t>Furthermore, long-term (10+ years) studies of sexual recidivism consistently observe the highest rates during the first few years after release, with gradually declining rates of recidivism thereafter (Blokland &amp; van der Geest, 2015; Cann, Flashaw, &amp; Friendship, 2004; Hanson</w:t>
      </w:r>
      <w:r w:rsidR="00057BF3">
        <w:rPr>
          <w:sz w:val="24"/>
          <w:szCs w:val="24"/>
        </w:rPr>
        <w:t xml:space="preserve">, Harris, Helmus, &amp; Thorton, </w:t>
      </w:r>
      <w:r w:rsidRPr="003956D0">
        <w:rPr>
          <w:sz w:val="24"/>
          <w:szCs w:val="24"/>
        </w:rPr>
        <w:t>2014; Hanson, Steffy, &amp; Gauthier, 1993; A. J. R. Harris &amp; Hanson, 2004; Prentky</w:t>
      </w:r>
      <w:r w:rsidR="005D34C8">
        <w:rPr>
          <w:sz w:val="24"/>
          <w:szCs w:val="24"/>
        </w:rPr>
        <w:t>, Lee, Knight, &amp; Cerce,</w:t>
      </w:r>
      <w:r w:rsidRPr="003956D0">
        <w:rPr>
          <w:sz w:val="24"/>
          <w:szCs w:val="24"/>
        </w:rPr>
        <w:t xml:space="preserve"> 1997; Soothill &amp; Gibbens, 1978). Rather than focussing on the reduction of risk based on time offense free, early studies emphasized the enduring nature of the risk of sexual offenders (Hanson</w:t>
      </w:r>
      <w:r w:rsidR="00057BF3">
        <w:rPr>
          <w:sz w:val="24"/>
          <w:szCs w:val="24"/>
        </w:rPr>
        <w:t xml:space="preserve"> et al., </w:t>
      </w:r>
      <w:r w:rsidRPr="003956D0">
        <w:rPr>
          <w:sz w:val="24"/>
          <w:szCs w:val="24"/>
        </w:rPr>
        <w:t xml:space="preserve">1993; Soothill &amp; Gibbens, 1978), particularly for sexual offenders against children (Hanson, 2002). The notion that sexual offenders present an enduring risk is now well entrenched among the public (A. J. Harris &amp; Socia, 2016; Levenson et al., 2007), policymakers (Sample &amp; Kadleck, 2008), and those working in the criminal justice system (Bumby &amp; Maddox, 1999; Lawson &amp; Savell, 2003; Zevitz &amp; Farkas, 2000). </w:t>
      </w:r>
    </w:p>
    <w:p w:rsidR="000C53C2" w:rsidRPr="003956D0" w:rsidRDefault="000C53C2" w:rsidP="000C53C2">
      <w:pPr>
        <w:pStyle w:val="CommentText"/>
        <w:spacing w:line="480" w:lineRule="auto"/>
        <w:jc w:val="center"/>
        <w:outlineLvl w:val="0"/>
        <w:rPr>
          <w:sz w:val="24"/>
          <w:szCs w:val="24"/>
        </w:rPr>
      </w:pPr>
      <w:r w:rsidRPr="003956D0">
        <w:rPr>
          <w:b/>
          <w:sz w:val="24"/>
          <w:szCs w:val="24"/>
        </w:rPr>
        <w:t>Desistance From Sexual Offending</w:t>
      </w:r>
    </w:p>
    <w:p w:rsidR="000C53C2" w:rsidRPr="003956D0" w:rsidRDefault="000C53C2" w:rsidP="000C53C2">
      <w:pPr>
        <w:pStyle w:val="CommentText"/>
        <w:spacing w:line="480" w:lineRule="auto"/>
        <w:ind w:firstLine="720"/>
        <w:rPr>
          <w:sz w:val="24"/>
          <w:szCs w:val="24"/>
        </w:rPr>
      </w:pPr>
      <w:r w:rsidRPr="003956D0">
        <w:rPr>
          <w:sz w:val="24"/>
          <w:szCs w:val="24"/>
        </w:rPr>
        <w:t>There is no single accepted definition of desistance for a sexual offender. Even if the risk of sexual recidivism declines with time offense free, even small residual risk could be worrisome given the serious consequences of sexual victimization. For general offenders, desistance is often defined as a marked reduction in the propensity to commit crime, and is typically operationalized in research studies by an absence of self-reported or officially recorded crime for a specified number of years (e.g., 3 to 10, see review by Kazemian, 2007). Desistance for general offenders has also been defined as a reduction of risk (individual propensity to commit crime</w:t>
      </w:r>
      <w:r w:rsidR="00D911A8">
        <w:rPr>
          <w:sz w:val="24"/>
          <w:szCs w:val="24"/>
        </w:rPr>
        <w:t>) that is</w:t>
      </w:r>
      <w:r w:rsidR="00250E96">
        <w:rPr>
          <w:sz w:val="24"/>
          <w:szCs w:val="24"/>
        </w:rPr>
        <w:t xml:space="preserve"> equal to or less than</w:t>
      </w:r>
      <w:r w:rsidRPr="003956D0">
        <w:rPr>
          <w:sz w:val="24"/>
          <w:szCs w:val="24"/>
        </w:rPr>
        <w:t xml:space="preserve"> the rate of spontaneous new offenses among individuals who have never been apprehended for a criminal offense (Bush</w:t>
      </w:r>
      <w:r w:rsidR="005D34C8">
        <w:rPr>
          <w:sz w:val="24"/>
          <w:szCs w:val="24"/>
        </w:rPr>
        <w:t xml:space="preserve">way et al., </w:t>
      </w:r>
      <w:r w:rsidRPr="003956D0">
        <w:rPr>
          <w:sz w:val="24"/>
          <w:szCs w:val="24"/>
        </w:rPr>
        <w:t>2011; Bushway</w:t>
      </w:r>
      <w:r w:rsidR="005D34C8">
        <w:rPr>
          <w:sz w:val="24"/>
          <w:szCs w:val="24"/>
        </w:rPr>
        <w:t>, Piquero, Broidy, Cauffman, &amp; Mazerolle</w:t>
      </w:r>
      <w:r w:rsidRPr="003956D0">
        <w:rPr>
          <w:sz w:val="24"/>
          <w:szCs w:val="24"/>
        </w:rPr>
        <w:t>, 2001; Göbbels, Ward</w:t>
      </w:r>
      <w:r w:rsidR="00F541C8">
        <w:rPr>
          <w:sz w:val="24"/>
          <w:szCs w:val="24"/>
        </w:rPr>
        <w:t>,</w:t>
      </w:r>
      <w:r w:rsidRPr="003956D0">
        <w:rPr>
          <w:sz w:val="24"/>
          <w:szCs w:val="24"/>
        </w:rPr>
        <w:t xml:space="preserve"> &amp; Willis, 2012; Kazemian, 2007). </w:t>
      </w:r>
    </w:p>
    <w:p w:rsidR="000C53C2" w:rsidRPr="003956D0" w:rsidRDefault="000C53C2" w:rsidP="000C53C2">
      <w:pPr>
        <w:pStyle w:val="CommentText"/>
        <w:spacing w:line="480" w:lineRule="auto"/>
        <w:ind w:firstLine="720"/>
        <w:rPr>
          <w:sz w:val="24"/>
          <w:szCs w:val="24"/>
        </w:rPr>
      </w:pPr>
      <w:r w:rsidRPr="003956D0">
        <w:rPr>
          <w:sz w:val="24"/>
          <w:szCs w:val="24"/>
        </w:rPr>
        <w:t>For sexual offenders, a plausible threshold for desistance is when their risk for a new sexual offense is no different than the risk of a spontaneous sexual offense among individuals who have no prior sexual offense history but who have a history of nonsexual crime. If we are going to manage the risk of an individual with a history of sexual crime differently from an individual with a history of nonsexual crime, then their risk of sexual offending should be perceptibly different. A recent review of 11 studies from diverse jurisdictions (</w:t>
      </w:r>
      <w:r w:rsidRPr="003956D0">
        <w:rPr>
          <w:i/>
          <w:sz w:val="24"/>
          <w:szCs w:val="24"/>
        </w:rPr>
        <w:t>n</w:t>
      </w:r>
      <w:r w:rsidRPr="003956D0">
        <w:rPr>
          <w:sz w:val="24"/>
          <w:szCs w:val="24"/>
        </w:rPr>
        <w:t xml:space="preserve"> = 543,024) found a rate of spontaneous sexual offenses among nonsexual offenders to be in the 1% to 2% range after 5 years (Kahn</w:t>
      </w:r>
      <w:r w:rsidR="005249A4">
        <w:rPr>
          <w:sz w:val="24"/>
          <w:szCs w:val="24"/>
        </w:rPr>
        <w:t>, Ambroziak, Hanson</w:t>
      </w:r>
      <w:r w:rsidR="00F541C8">
        <w:rPr>
          <w:sz w:val="24"/>
          <w:szCs w:val="24"/>
        </w:rPr>
        <w:t>,</w:t>
      </w:r>
      <w:r w:rsidR="005249A4">
        <w:rPr>
          <w:sz w:val="24"/>
          <w:szCs w:val="24"/>
        </w:rPr>
        <w:t xml:space="preserve"> &amp; Thornton, </w:t>
      </w:r>
      <w:r w:rsidRPr="003956D0">
        <w:rPr>
          <w:sz w:val="24"/>
          <w:szCs w:val="24"/>
        </w:rPr>
        <w:t>201</w:t>
      </w:r>
      <w:r w:rsidR="005249A4">
        <w:rPr>
          <w:sz w:val="24"/>
          <w:szCs w:val="24"/>
        </w:rPr>
        <w:t>7</w:t>
      </w:r>
      <w:r w:rsidRPr="003956D0">
        <w:rPr>
          <w:sz w:val="24"/>
          <w:szCs w:val="24"/>
        </w:rPr>
        <w:t xml:space="preserve">). This is meaningfully lower than the sexual recidivism rate of adults who have already been convicted of a sexual offense. However, it is not zero. A sexual recidivism rate of less than 2% after 5 years is also a defensible threshold below which individuals with a history of sexual crime should be released from conditions associated with the sexual offender label. From a risk management perspective, resources that may be spent on these very low risk sexual offenders would be better spent on higher risk offenders, prevention of sexual crime, and victim services. </w:t>
      </w:r>
    </w:p>
    <w:p w:rsidR="000C53C2" w:rsidRPr="003956D0" w:rsidRDefault="000C53C2" w:rsidP="000C53C2">
      <w:pPr>
        <w:pStyle w:val="CommentText"/>
        <w:spacing w:line="480" w:lineRule="auto"/>
        <w:jc w:val="center"/>
        <w:outlineLvl w:val="0"/>
        <w:rPr>
          <w:b/>
          <w:sz w:val="24"/>
          <w:szCs w:val="24"/>
        </w:rPr>
      </w:pPr>
      <w:r w:rsidRPr="003956D0">
        <w:rPr>
          <w:b/>
          <w:sz w:val="24"/>
          <w:szCs w:val="24"/>
        </w:rPr>
        <w:t>Statistical Models of Desistance</w:t>
      </w:r>
    </w:p>
    <w:p w:rsidR="000C53C2" w:rsidRDefault="000C53C2" w:rsidP="000C53C2">
      <w:pPr>
        <w:pStyle w:val="CommentText"/>
        <w:spacing w:line="480" w:lineRule="auto"/>
        <w:rPr>
          <w:sz w:val="24"/>
          <w:szCs w:val="24"/>
        </w:rPr>
      </w:pPr>
      <w:r w:rsidRPr="003956D0">
        <w:rPr>
          <w:sz w:val="24"/>
          <w:szCs w:val="24"/>
        </w:rPr>
        <w:tab/>
        <w:t xml:space="preserve">The current study uses long-term criminal history records to estimate declining recidivism risk and, ultimately, desistance among sexual offenders. Criminal history records are informative, but incomplete indicators of criminal behavior. Consequently, we cannot conclude from an observed recidivism rate of 10% that the remaining 90% have committed no crimes. Some simply haven’t got caught. It is also important to distinguish between reductions in an individuals’ propensity to commit sexual crime (e.g., deviant sexual interests, low self-control, sexual preoccupations, intentions to offend) and actually committing sexual crime (detected or not). Given that the new wave of </w:t>
      </w:r>
      <w:r w:rsidRPr="006E4F02">
        <w:rPr>
          <w:sz w:val="24"/>
          <w:szCs w:val="24"/>
        </w:rPr>
        <w:t>sexual offender policies are intended to prevent reoffending in individuals with enduring propensities for sexual crime, propensities</w:t>
      </w:r>
      <w:r w:rsidRPr="003956D0">
        <w:rPr>
          <w:sz w:val="24"/>
          <w:szCs w:val="24"/>
        </w:rPr>
        <w:t xml:space="preserve"> are the central </w:t>
      </w:r>
      <w:r w:rsidRPr="006E4F02">
        <w:rPr>
          <w:sz w:val="24"/>
          <w:szCs w:val="24"/>
        </w:rPr>
        <w:t>constructs</w:t>
      </w:r>
      <w:r w:rsidRPr="003956D0">
        <w:rPr>
          <w:sz w:val="24"/>
          <w:szCs w:val="24"/>
        </w:rPr>
        <w:t xml:space="preserve"> guiding current public protection policy for sexual offenders.</w:t>
      </w:r>
      <w:r w:rsidR="00D911A8">
        <w:rPr>
          <w:sz w:val="24"/>
          <w:szCs w:val="24"/>
        </w:rPr>
        <w:t xml:space="preserve"> </w:t>
      </w:r>
      <w:r w:rsidR="006E4F02">
        <w:rPr>
          <w:sz w:val="24"/>
          <w:szCs w:val="24"/>
        </w:rPr>
        <w:t xml:space="preserve"> </w:t>
      </w:r>
    </w:p>
    <w:p w:rsidR="000C53C2" w:rsidRPr="003956D0" w:rsidRDefault="006E4F02" w:rsidP="000C53C2">
      <w:pPr>
        <w:pStyle w:val="CommentText"/>
        <w:spacing w:line="480" w:lineRule="auto"/>
        <w:rPr>
          <w:sz w:val="24"/>
          <w:szCs w:val="24"/>
        </w:rPr>
      </w:pPr>
      <w:r>
        <w:rPr>
          <w:sz w:val="24"/>
          <w:szCs w:val="24"/>
        </w:rPr>
        <w:tab/>
        <w:t xml:space="preserve">Following the standard distinction between observed variables and </w:t>
      </w:r>
      <w:r w:rsidR="008B057D">
        <w:rPr>
          <w:sz w:val="24"/>
          <w:szCs w:val="24"/>
        </w:rPr>
        <w:t>latent constr</w:t>
      </w:r>
      <w:r>
        <w:rPr>
          <w:sz w:val="24"/>
          <w:szCs w:val="24"/>
        </w:rPr>
        <w:t>ucts (Cronbach &amp; Meehl, 195</w:t>
      </w:r>
      <w:r w:rsidR="008B057D">
        <w:rPr>
          <w:sz w:val="24"/>
          <w:szCs w:val="24"/>
        </w:rPr>
        <w:t>5</w:t>
      </w:r>
      <w:r>
        <w:rPr>
          <w:sz w:val="24"/>
          <w:szCs w:val="24"/>
        </w:rPr>
        <w:t xml:space="preserve">), </w:t>
      </w:r>
      <w:r w:rsidR="000C53C2" w:rsidRPr="003956D0">
        <w:rPr>
          <w:sz w:val="24"/>
          <w:szCs w:val="24"/>
        </w:rPr>
        <w:t>the propensity to commit crime is</w:t>
      </w:r>
      <w:r>
        <w:rPr>
          <w:sz w:val="24"/>
          <w:szCs w:val="24"/>
        </w:rPr>
        <w:t xml:space="preserve"> a latent construct, which is</w:t>
      </w:r>
      <w:r w:rsidR="000C53C2" w:rsidRPr="003956D0">
        <w:rPr>
          <w:sz w:val="24"/>
          <w:szCs w:val="24"/>
        </w:rPr>
        <w:t xml:space="preserve"> not directly observable, and would be vigorously denied by all but the most dysfunctional individuals in the criminal justice system. Consequently, these propensities must be inferred from indicators, such as past behavior, attitudes, peer associations, and lifestyle. These propensities can also be inferred by statistical studies of cohorts over time (Blum</w:t>
      </w:r>
      <w:r w:rsidR="00057BF3">
        <w:rPr>
          <w:sz w:val="24"/>
          <w:szCs w:val="24"/>
        </w:rPr>
        <w:t xml:space="preserve">stein &amp; Nakamura, 2009; Bushway et al., </w:t>
      </w:r>
      <w:r w:rsidR="000C53C2" w:rsidRPr="003956D0">
        <w:rPr>
          <w:sz w:val="24"/>
          <w:szCs w:val="24"/>
        </w:rPr>
        <w:t>2011; Hargreaves &amp; Francis, 2014; Soothill &amp; Francis, 2009). Observed variation in crime rates for particular time periods (i.e., empirical hazard rates) should be proportional to the latent propensity to commit crime</w:t>
      </w:r>
      <w:r w:rsidR="00222D05">
        <w:rPr>
          <w:sz w:val="24"/>
          <w:szCs w:val="24"/>
        </w:rPr>
        <w:t>.</w:t>
      </w:r>
      <w:r w:rsidR="000C53C2" w:rsidRPr="003956D0">
        <w:rPr>
          <w:sz w:val="24"/>
          <w:szCs w:val="24"/>
        </w:rPr>
        <w:t xml:space="preserve"> . Variation in hazard rates, however, is determined by both the composition of the group and changes in individuals’ risk. Given that the highest risk offenders will be removed first from the overall sample, the remaining study subjects contain an increasing proportion of individuals who were low risk at the onset (</w:t>
      </w:r>
      <w:r w:rsidR="000C53C2" w:rsidRPr="003956D0">
        <w:rPr>
          <w:i/>
          <w:sz w:val="24"/>
          <w:szCs w:val="24"/>
        </w:rPr>
        <w:t>frailty</w:t>
      </w:r>
      <w:r w:rsidR="000C53C2" w:rsidRPr="003956D0">
        <w:rPr>
          <w:sz w:val="24"/>
          <w:szCs w:val="24"/>
        </w:rPr>
        <w:t xml:space="preserve"> in survival analysis [Aalen, Borgan, &amp; Gjessing, 2008</w:t>
      </w:r>
      <w:r w:rsidR="000C53C2">
        <w:rPr>
          <w:sz w:val="24"/>
          <w:szCs w:val="24"/>
        </w:rPr>
        <w:t>]</w:t>
      </w:r>
      <w:r w:rsidR="000C53C2" w:rsidRPr="003956D0">
        <w:rPr>
          <w:sz w:val="24"/>
          <w:szCs w:val="24"/>
        </w:rPr>
        <w:t xml:space="preserve">, p. 231- 268). Consequently, declining hazard rates cannot be directly interpreted as improvements (declining propensities) at the individual level. Such declines, however, can be interpreted as reductions in the overall risk presented by individuals who remain offense free. </w:t>
      </w:r>
    </w:p>
    <w:p w:rsidR="000C53C2" w:rsidRPr="003956D0" w:rsidRDefault="000C53C2" w:rsidP="000C53C2">
      <w:pPr>
        <w:pStyle w:val="CommentText"/>
        <w:spacing w:line="480" w:lineRule="auto"/>
        <w:rPr>
          <w:sz w:val="24"/>
          <w:szCs w:val="24"/>
        </w:rPr>
      </w:pPr>
      <w:r w:rsidRPr="003956D0">
        <w:rPr>
          <w:sz w:val="24"/>
          <w:szCs w:val="24"/>
        </w:rPr>
        <w:tab/>
        <w:t xml:space="preserve">Although reliable evaluation of individual change is important for those assessing and treating individual sexual offenders, public protection policies need not be concerned about teasing apart the relative contribution of individual change versus change in group composition. Global, statistical estimates of risk can and should inform policies concerning which objectively defined groups should be subject to exceptional public protection measures. In general, the most efficient interventions are proportional to the risk presented, with greater resources directed toward the highest risk individuals (i.e., the Risk Principle in the Risk/Need/Responsivity model [Andrews, Bonta, &amp; Hoge, 1990]). As well, principles of fundamental justice dictate that exceptional restrictions and administrative burdens intended to protect the public should be equitably applied to individuals of equivalent risk. </w:t>
      </w:r>
      <w:r w:rsidR="00222D05">
        <w:rPr>
          <w:sz w:val="24"/>
          <w:szCs w:val="24"/>
        </w:rPr>
        <w:t>I</w:t>
      </w:r>
      <w:r w:rsidRPr="003956D0">
        <w:rPr>
          <w:sz w:val="24"/>
          <w:szCs w:val="24"/>
        </w:rPr>
        <w:t>n the same way that we respond differently to individuals at different risk levels, so, too, should we reduce restrictions on individuals for whom there is strong evidence that their propensity to engage in sexual crime is lower than previously believed. Although the moral consequences of a sexual offense may endure indefinitely, the risk of recidivism may not.</w:t>
      </w:r>
    </w:p>
    <w:p w:rsidR="000C53C2" w:rsidRPr="003956D0" w:rsidRDefault="000C53C2" w:rsidP="000C53C2">
      <w:pPr>
        <w:pStyle w:val="CommentText"/>
        <w:spacing w:line="480" w:lineRule="auto"/>
        <w:jc w:val="center"/>
        <w:outlineLvl w:val="0"/>
        <w:rPr>
          <w:b/>
          <w:sz w:val="24"/>
          <w:szCs w:val="24"/>
        </w:rPr>
      </w:pPr>
      <w:r w:rsidRPr="003956D0">
        <w:rPr>
          <w:b/>
          <w:sz w:val="24"/>
          <w:szCs w:val="24"/>
        </w:rPr>
        <w:t>Current Study</w:t>
      </w:r>
    </w:p>
    <w:p w:rsidR="000C53C2" w:rsidRPr="003956D0" w:rsidRDefault="000C53C2" w:rsidP="000C53C2">
      <w:pPr>
        <w:pStyle w:val="CommentText"/>
        <w:spacing w:line="480" w:lineRule="auto"/>
        <w:rPr>
          <w:sz w:val="24"/>
          <w:szCs w:val="24"/>
        </w:rPr>
      </w:pPr>
      <w:r w:rsidRPr="003956D0">
        <w:rPr>
          <w:b/>
          <w:sz w:val="24"/>
          <w:szCs w:val="24"/>
        </w:rPr>
        <w:tab/>
      </w:r>
      <w:r w:rsidRPr="003956D0">
        <w:rPr>
          <w:sz w:val="24"/>
          <w:szCs w:val="24"/>
        </w:rPr>
        <w:t>The purpose of the current study was to extend previous research on the declining risk of sexual recidivism over time (Hanson et al., 2014) by statistically modeling the effects of time sexual offense free in the community, initial risk level, age, and subsequent nonsexual offending. Discrete time survival analysis was used to estimate hazard rates for a large, aggregated sample of sexual offenders (</w:t>
      </w:r>
      <w:r w:rsidR="008B057D">
        <w:rPr>
          <w:i/>
          <w:sz w:val="24"/>
          <w:szCs w:val="24"/>
        </w:rPr>
        <w:t xml:space="preserve">N </w:t>
      </w:r>
      <w:r w:rsidRPr="003956D0">
        <w:rPr>
          <w:sz w:val="24"/>
          <w:szCs w:val="24"/>
        </w:rPr>
        <w:t>&gt; 7,000) followed for up to 25 years. The sample included sexual offenders from diverse settings and from the full range of risk levels, as measured by the Static-99R sexual offender risk assessment tool (Helmus, Thornton</w:t>
      </w:r>
      <w:r w:rsidR="00057BF3">
        <w:rPr>
          <w:sz w:val="24"/>
          <w:szCs w:val="24"/>
        </w:rPr>
        <w:t xml:space="preserve">, Hanson, &amp; Babchishin, </w:t>
      </w:r>
      <w:r w:rsidRPr="003956D0">
        <w:rPr>
          <w:sz w:val="24"/>
          <w:szCs w:val="24"/>
        </w:rPr>
        <w:t xml:space="preserve">2012). These analyses also allowed us to estimate the length of time at which desistance can be presumed, specifically, when the risk of a new sexual crime is no different than the spontaneous rate of first-time sexual offenses among </w:t>
      </w:r>
      <w:r w:rsidR="00574459">
        <w:rPr>
          <w:sz w:val="24"/>
          <w:szCs w:val="24"/>
        </w:rPr>
        <w:t>felons</w:t>
      </w:r>
      <w:r w:rsidRPr="003956D0">
        <w:rPr>
          <w:sz w:val="24"/>
          <w:szCs w:val="24"/>
        </w:rPr>
        <w:t xml:space="preserve"> with no history of sexual crime. </w:t>
      </w:r>
    </w:p>
    <w:p w:rsidR="000C53C2" w:rsidRPr="003956D0" w:rsidRDefault="000C53C2" w:rsidP="000C53C2">
      <w:pPr>
        <w:spacing w:line="480" w:lineRule="auto"/>
        <w:jc w:val="center"/>
        <w:outlineLvl w:val="0"/>
        <w:rPr>
          <w:b/>
        </w:rPr>
      </w:pPr>
      <w:r w:rsidRPr="003956D0">
        <w:rPr>
          <w:b/>
        </w:rPr>
        <w:t>Method</w:t>
      </w:r>
    </w:p>
    <w:p w:rsidR="000C53C2" w:rsidRPr="003956D0" w:rsidRDefault="00F541C8" w:rsidP="000C53C2">
      <w:pPr>
        <w:spacing w:line="480" w:lineRule="auto"/>
        <w:outlineLvl w:val="0"/>
        <w:rPr>
          <w:b/>
          <w:lang w:val="en-US"/>
        </w:rPr>
      </w:pPr>
      <w:r>
        <w:rPr>
          <w:b/>
          <w:lang w:val="en-US"/>
        </w:rPr>
        <w:t>Participants</w:t>
      </w:r>
    </w:p>
    <w:p w:rsidR="000C53C2" w:rsidRPr="003956D0" w:rsidRDefault="000C53C2" w:rsidP="000C53C2">
      <w:pPr>
        <w:spacing w:line="480" w:lineRule="auto"/>
        <w:ind w:firstLine="720"/>
        <w:rPr>
          <w:lang w:val="en-US"/>
        </w:rPr>
      </w:pPr>
      <w:r w:rsidRPr="003956D0">
        <w:rPr>
          <w:lang w:val="en-US"/>
        </w:rPr>
        <w:t xml:space="preserve">The individuals in the current study were selected from previous studies used to develop and norm the Static-99R sexual offender risk tool (Hanson et al., 2014; Helmus, Thornton et al., 2012). All subjects were adult males (18+) with an officially recorded history of sexual crime, a valid Static-99R score, and at least 6 months of follow-up time. Of the datasets used in previous studies, Knight and Thornton’s (2007) sample was excluded because of their anomalous coding of the ten year survival time for nonrecidivists (all nonrecidivists with more than 10 years follow-up time were censored at exactly 10 years). </w:t>
      </w:r>
    </w:p>
    <w:p w:rsidR="000C53C2" w:rsidRPr="003956D0" w:rsidRDefault="000C53C2" w:rsidP="000C53C2">
      <w:pPr>
        <w:pBdr>
          <w:bottom w:val="single" w:sz="12" w:space="1" w:color="auto"/>
        </w:pBdr>
        <w:spacing w:line="480" w:lineRule="auto"/>
        <w:ind w:firstLine="720"/>
        <w:rPr>
          <w:lang w:val="en-US"/>
        </w:rPr>
      </w:pPr>
      <w:r w:rsidRPr="003956D0">
        <w:rPr>
          <w:lang w:val="en-US"/>
        </w:rPr>
        <w:t>The data were drawn from 20 different samples (See Table 1). Following Hanson, Thornton</w:t>
      </w:r>
      <w:r w:rsidR="00057BF3">
        <w:rPr>
          <w:lang w:val="en-US"/>
        </w:rPr>
        <w:t>, Helmus</w:t>
      </w:r>
      <w:r w:rsidR="00F541C8">
        <w:rPr>
          <w:lang w:val="en-US"/>
        </w:rPr>
        <w:t>,</w:t>
      </w:r>
      <w:r w:rsidR="00057BF3">
        <w:rPr>
          <w:lang w:val="en-US"/>
        </w:rPr>
        <w:t xml:space="preserve"> &amp; Babchishin</w:t>
      </w:r>
      <w:r w:rsidRPr="003956D0">
        <w:rPr>
          <w:lang w:val="en-US"/>
        </w:rPr>
        <w:t xml:space="preserve"> (2016), the samples were grouped into three broad categories: a) relatively unbiased samples of a routine, complete, or randomly selected set of cases drawn from a particular jurisdiction (routine/complete samples; </w:t>
      </w:r>
      <w:r w:rsidRPr="003956D0">
        <w:rPr>
          <w:i/>
          <w:lang w:val="en-US"/>
        </w:rPr>
        <w:t>k</w:t>
      </w:r>
      <w:r w:rsidRPr="003956D0">
        <w:rPr>
          <w:lang w:val="en-US"/>
        </w:rPr>
        <w:t xml:space="preserve"> = 8, </w:t>
      </w:r>
      <w:r w:rsidRPr="003956D0">
        <w:rPr>
          <w:i/>
          <w:lang w:val="en-US"/>
        </w:rPr>
        <w:t>n</w:t>
      </w:r>
      <w:r w:rsidRPr="003956D0">
        <w:rPr>
          <w:lang w:val="en-US"/>
        </w:rPr>
        <w:t xml:space="preserve"> = 4,026), b) individuals referred to specialized sexual offender treatment (treatment samples; </w:t>
      </w:r>
      <w:r w:rsidRPr="003956D0">
        <w:rPr>
          <w:i/>
          <w:lang w:val="en-US"/>
        </w:rPr>
        <w:t>k</w:t>
      </w:r>
      <w:r w:rsidRPr="003956D0">
        <w:rPr>
          <w:lang w:val="en-US"/>
        </w:rPr>
        <w:t xml:space="preserve"> = 5, </w:t>
      </w:r>
      <w:r w:rsidRPr="003956D0">
        <w:rPr>
          <w:i/>
          <w:lang w:val="en-US"/>
        </w:rPr>
        <w:t>n</w:t>
      </w:r>
      <w:r w:rsidRPr="003956D0">
        <w:rPr>
          <w:lang w:val="en-US"/>
        </w:rPr>
        <w:t xml:space="preserve"> = 1,899), and c) individuals preselected to be high risk/high need (</w:t>
      </w:r>
      <w:r w:rsidRPr="003956D0">
        <w:rPr>
          <w:i/>
          <w:lang w:val="en-US"/>
        </w:rPr>
        <w:t>k</w:t>
      </w:r>
      <w:r w:rsidRPr="003956D0">
        <w:rPr>
          <w:lang w:val="en-US"/>
        </w:rPr>
        <w:t xml:space="preserve"> = 5, </w:t>
      </w:r>
      <w:r w:rsidRPr="003956D0">
        <w:rPr>
          <w:i/>
          <w:lang w:val="en-US"/>
        </w:rPr>
        <w:t>n</w:t>
      </w:r>
      <w:r w:rsidRPr="003956D0">
        <w:rPr>
          <w:lang w:val="en-US"/>
        </w:rPr>
        <w:t xml:space="preserve"> = 1,141). The study included two additional, small samples that did not fit the main categories, namely a German sample of sexual murders (</w:t>
      </w:r>
      <w:r w:rsidRPr="003956D0">
        <w:rPr>
          <w:i/>
          <w:lang w:val="en-US"/>
        </w:rPr>
        <w:t>n</w:t>
      </w:r>
      <w:r w:rsidRPr="003956D0">
        <w:rPr>
          <w:lang w:val="en-US"/>
        </w:rPr>
        <w:t xml:space="preserve"> = 86; Hill</w:t>
      </w:r>
      <w:r w:rsidR="00057BF3">
        <w:rPr>
          <w:lang w:val="en-US"/>
        </w:rPr>
        <w:t>, Habermann, Klusmann, Berner, &amp; Briken</w:t>
      </w:r>
      <w:r w:rsidRPr="003956D0">
        <w:rPr>
          <w:lang w:val="en-US"/>
        </w:rPr>
        <w:t>, 2008) and a sample of individuals screened to be low risk (</w:t>
      </w:r>
      <w:r w:rsidRPr="003956D0">
        <w:rPr>
          <w:i/>
          <w:lang w:val="en-US"/>
        </w:rPr>
        <w:t>n</w:t>
      </w:r>
      <w:r w:rsidRPr="003956D0">
        <w:rPr>
          <w:lang w:val="en-US"/>
        </w:rPr>
        <w:t xml:space="preserve"> = 73; Cortoni &amp; Nunes, 2008). These samples were classified as “other”. Previous research with these samples indicated that classification into these four sample types (routine, treatment, high risk, other) can done with high reliability (kappa = .92; Hanson, Thornton et al., 2016)</w:t>
      </w:r>
    </w:p>
    <w:p w:rsidR="000C53C2" w:rsidRPr="003956D0" w:rsidRDefault="000C53C2" w:rsidP="000C53C2">
      <w:pPr>
        <w:spacing w:line="480" w:lineRule="auto"/>
        <w:ind w:firstLine="720"/>
        <w:rPr>
          <w:lang w:val="en-US"/>
        </w:rPr>
      </w:pPr>
    </w:p>
    <w:p w:rsidR="000C53C2" w:rsidRPr="003956D0" w:rsidRDefault="000C53C2" w:rsidP="000C53C2">
      <w:pPr>
        <w:pBdr>
          <w:bottom w:val="single" w:sz="12" w:space="1" w:color="auto"/>
        </w:pBdr>
        <w:spacing w:line="480" w:lineRule="auto"/>
        <w:ind w:firstLine="720"/>
        <w:jc w:val="center"/>
        <w:outlineLvl w:val="0"/>
        <w:rPr>
          <w:lang w:val="en-US"/>
        </w:rPr>
      </w:pPr>
      <w:r w:rsidRPr="003956D0">
        <w:rPr>
          <w:lang w:val="en-US"/>
        </w:rPr>
        <w:t>Insert Table 1 and Table 2 about here</w:t>
      </w:r>
    </w:p>
    <w:p w:rsidR="000C53C2" w:rsidRPr="003956D0" w:rsidRDefault="000C53C2" w:rsidP="000C53C2">
      <w:pPr>
        <w:spacing w:line="480" w:lineRule="auto"/>
        <w:ind w:firstLine="720"/>
        <w:rPr>
          <w:lang w:val="en-US"/>
        </w:rPr>
      </w:pPr>
    </w:p>
    <w:p w:rsidR="000C53C2" w:rsidRPr="003956D0" w:rsidRDefault="000C53C2" w:rsidP="000C53C2">
      <w:pPr>
        <w:pBdr>
          <w:bottom w:val="single" w:sz="12" w:space="1" w:color="auto"/>
        </w:pBdr>
        <w:spacing w:line="480" w:lineRule="auto"/>
        <w:ind w:firstLine="720"/>
        <w:rPr>
          <w:lang w:val="en-US"/>
        </w:rPr>
      </w:pPr>
      <w:r w:rsidRPr="003956D0">
        <w:rPr>
          <w:lang w:val="en-US"/>
        </w:rPr>
        <w:t xml:space="preserve">The follow-up period ranged from 6 months to 31.5 years (median of 7.2 years, </w:t>
      </w:r>
      <w:r w:rsidRPr="003956D0">
        <w:rPr>
          <w:i/>
          <w:lang w:val="en-US"/>
        </w:rPr>
        <w:t>M</w:t>
      </w:r>
      <w:r w:rsidRPr="003956D0">
        <w:rPr>
          <w:lang w:val="en-US"/>
        </w:rPr>
        <w:t xml:space="preserve"> = 8.2, </w:t>
      </w:r>
      <w:r w:rsidRPr="003956D0">
        <w:rPr>
          <w:i/>
          <w:lang w:val="en-US"/>
        </w:rPr>
        <w:t>SD</w:t>
      </w:r>
      <w:r w:rsidRPr="003956D0">
        <w:rPr>
          <w:lang w:val="en-US"/>
        </w:rPr>
        <w:t xml:space="preserve"> = 5.3 years). Nine of the samples used charges for a new sexual offense as the recidivism criteria whereas 11 used convictions (see Table 2). Previous analyses with this dataset found relatively little difference in the overall results whether charges and convictions were considered separately or were combined (Helmus, 2009). On average, the mean follow-up time for offenders in the routine samples (</w:t>
      </w:r>
      <w:r w:rsidRPr="003956D0">
        <w:rPr>
          <w:i/>
          <w:lang w:val="en-US"/>
        </w:rPr>
        <w:t xml:space="preserve">M </w:t>
      </w:r>
      <w:r w:rsidRPr="003956D0">
        <w:rPr>
          <w:lang w:val="en-US"/>
        </w:rPr>
        <w:t xml:space="preserve">= 6.7 years, </w:t>
      </w:r>
      <w:r w:rsidRPr="003956D0">
        <w:rPr>
          <w:i/>
          <w:lang w:val="en-US"/>
        </w:rPr>
        <w:t>SD</w:t>
      </w:r>
      <w:r w:rsidRPr="003956D0">
        <w:rPr>
          <w:lang w:val="en-US"/>
        </w:rPr>
        <w:t xml:space="preserve"> = 3.4, range from 6 months to 26.5 years) was shorter than the mean follow-up time for the treatment </w:t>
      </w:r>
      <w:r w:rsidR="003775DB">
        <w:rPr>
          <w:lang w:val="en-US"/>
        </w:rPr>
        <w:t xml:space="preserve">samples </w:t>
      </w:r>
      <w:r w:rsidRPr="003956D0">
        <w:rPr>
          <w:lang w:val="en-US"/>
        </w:rPr>
        <w:t>(</w:t>
      </w:r>
      <w:r w:rsidRPr="003956D0">
        <w:rPr>
          <w:i/>
          <w:lang w:val="en-US"/>
        </w:rPr>
        <w:t xml:space="preserve">M </w:t>
      </w:r>
      <w:r w:rsidRPr="003956D0">
        <w:rPr>
          <w:lang w:val="en-US"/>
        </w:rPr>
        <w:t xml:space="preserve">= 11.0 years, </w:t>
      </w:r>
      <w:r w:rsidRPr="003956D0">
        <w:rPr>
          <w:i/>
          <w:lang w:val="en-US"/>
        </w:rPr>
        <w:t>SD</w:t>
      </w:r>
      <w:r w:rsidRPr="003956D0">
        <w:rPr>
          <w:lang w:val="en-US"/>
        </w:rPr>
        <w:t xml:space="preserve"> = 6.8, range from 6 months to 31.1 years) and high risk/high need samples (</w:t>
      </w:r>
      <w:r w:rsidRPr="003956D0">
        <w:rPr>
          <w:i/>
          <w:lang w:val="en-US"/>
        </w:rPr>
        <w:t xml:space="preserve">M </w:t>
      </w:r>
      <w:r w:rsidRPr="003956D0">
        <w:rPr>
          <w:lang w:val="en-US"/>
        </w:rPr>
        <w:t xml:space="preserve">= 8.9 years, </w:t>
      </w:r>
      <w:r w:rsidRPr="003956D0">
        <w:rPr>
          <w:i/>
          <w:lang w:val="en-US"/>
        </w:rPr>
        <w:t>SD</w:t>
      </w:r>
      <w:r w:rsidRPr="003956D0">
        <w:rPr>
          <w:lang w:val="en-US"/>
        </w:rPr>
        <w:t xml:space="preserve"> = 5.6, range from 6 months to 24.6 years). As can be seen in Table 3, the distributions of individuals from the different sample types varied based on follow-up period. Of the 4,940 individuals followed for 5 years or more, 48.7% were from routine samples. In contrast, only 5.9% of those followed for 15 years or more were from routine samples (64.6% treatment; 25.4% high risk/high need; 4.1% other; total </w:t>
      </w:r>
      <w:r w:rsidRPr="003956D0">
        <w:rPr>
          <w:i/>
          <w:lang w:val="en-US"/>
        </w:rPr>
        <w:t>n</w:t>
      </w:r>
      <w:r w:rsidRPr="003956D0">
        <w:rPr>
          <w:lang w:val="en-US"/>
        </w:rPr>
        <w:t xml:space="preserve"> = 740). Overall, 394 individuals were followed for more than 20 years, and 79 for more than 25 years. </w:t>
      </w:r>
    </w:p>
    <w:p w:rsidR="000C53C2" w:rsidRPr="003956D0" w:rsidRDefault="000C53C2" w:rsidP="000C53C2">
      <w:pPr>
        <w:spacing w:line="480" w:lineRule="auto"/>
        <w:ind w:firstLine="720"/>
        <w:rPr>
          <w:lang w:val="en-US"/>
        </w:rPr>
      </w:pPr>
    </w:p>
    <w:p w:rsidR="000C53C2" w:rsidRPr="003956D0" w:rsidRDefault="000C53C2" w:rsidP="000C53C2">
      <w:pPr>
        <w:pBdr>
          <w:bottom w:val="single" w:sz="12" w:space="1" w:color="auto"/>
        </w:pBdr>
        <w:spacing w:line="480" w:lineRule="auto"/>
        <w:ind w:firstLine="720"/>
        <w:jc w:val="center"/>
        <w:outlineLvl w:val="0"/>
        <w:rPr>
          <w:lang w:val="en-US"/>
        </w:rPr>
      </w:pPr>
      <w:r w:rsidRPr="003956D0">
        <w:rPr>
          <w:lang w:val="en-US"/>
        </w:rPr>
        <w:t>Insert Table 3 about here</w:t>
      </w:r>
    </w:p>
    <w:p w:rsidR="000C53C2" w:rsidRPr="003956D0" w:rsidRDefault="000C53C2" w:rsidP="000C53C2">
      <w:pPr>
        <w:spacing w:line="480" w:lineRule="auto"/>
        <w:ind w:firstLine="720"/>
        <w:jc w:val="center"/>
        <w:rPr>
          <w:lang w:val="en-US"/>
        </w:rPr>
      </w:pPr>
    </w:p>
    <w:p w:rsidR="000C53C2" w:rsidRPr="003956D0" w:rsidRDefault="000C53C2" w:rsidP="000C53C2">
      <w:pPr>
        <w:spacing w:line="480" w:lineRule="auto"/>
        <w:outlineLvl w:val="0"/>
        <w:rPr>
          <w:b/>
          <w:lang w:val="en-US"/>
        </w:rPr>
      </w:pPr>
      <w:r w:rsidRPr="003956D0">
        <w:rPr>
          <w:b/>
          <w:lang w:val="en-US"/>
        </w:rPr>
        <w:t>Measures</w:t>
      </w:r>
    </w:p>
    <w:p w:rsidR="000C53C2" w:rsidRPr="003956D0" w:rsidRDefault="000C53C2" w:rsidP="000C53C2">
      <w:pPr>
        <w:spacing w:line="480" w:lineRule="auto"/>
        <w:ind w:firstLine="720"/>
        <w:rPr>
          <w:lang w:val="en-US"/>
        </w:rPr>
      </w:pPr>
      <w:r w:rsidRPr="00014EF8">
        <w:rPr>
          <w:b/>
          <w:lang w:val="en-US"/>
        </w:rPr>
        <w:t>Static-99R.</w:t>
      </w:r>
      <w:r>
        <w:rPr>
          <w:lang w:val="en-US"/>
        </w:rPr>
        <w:t xml:space="preserve"> </w:t>
      </w:r>
      <w:r w:rsidRPr="003956D0">
        <w:rPr>
          <w:lang w:val="en-US"/>
        </w:rPr>
        <w:t>Static-99R (Helmus, Thornton et al., 2012) was used as a measure of risk for sexual recidivism. Static-99R contains 10 items based on commonly available demographic (age, relationship history) and criminal history information (e.g., prior sexual offenses, any unrelated victims, total number of prior sentencing occasions for anything). Static-99R (and its previous version, Static-99) are the sexual offender risk assessment tools most commonly used in corrections and forensic mental health (McGrath</w:t>
      </w:r>
      <w:r w:rsidR="00240B72">
        <w:rPr>
          <w:lang w:val="en-US"/>
        </w:rPr>
        <w:t>, Cumming, Burchard, Zeoli, &amp; Ellerby</w:t>
      </w:r>
      <w:r w:rsidRPr="003956D0">
        <w:rPr>
          <w:lang w:val="en-US"/>
        </w:rPr>
        <w:t xml:space="preserve">, 2010; Neal &amp; Grisso, 2014). It can be scored with high rater reliability (Phenix &amp; Epperson, 2016) and has moderate ability to discriminate recidivists from nonrecidivists (Helmus, Hanson et al., 2012).  </w:t>
      </w:r>
    </w:p>
    <w:p w:rsidR="000C53C2" w:rsidRPr="003956D0" w:rsidRDefault="000C53C2" w:rsidP="000C53C2">
      <w:pPr>
        <w:spacing w:line="480" w:lineRule="auto"/>
        <w:ind w:firstLine="720"/>
        <w:rPr>
          <w:lang w:val="en-US"/>
        </w:rPr>
      </w:pPr>
      <w:r w:rsidRPr="003956D0">
        <w:rPr>
          <w:lang w:val="en-US"/>
        </w:rPr>
        <w:t>Static-99R total scores range from -3 to 12, and correspond to the following risk levels: I -  very low risk (scores of -3 and -2), II - below average risk (scores of -1 and 0), III – average risk (scores of 1, 2, and 3), IVa - above average risk (scores of 4 and 5), and IVb - well above average risk (scores of 6 and higher; Hanson, Babchishin</w:t>
      </w:r>
      <w:r w:rsidR="005D34C8">
        <w:rPr>
          <w:lang w:val="en-US"/>
        </w:rPr>
        <w:t>, Helmus, Thornton, &amp; Phenix</w:t>
      </w:r>
      <w:r w:rsidRPr="003956D0">
        <w:rPr>
          <w:lang w:val="en-US"/>
        </w:rPr>
        <w:t xml:space="preserve">, 2016). The Static-99R risk levels parallel the standardized risk levels developed for general correctional populations by the Justice Centre of the Council of State Governments (Hanson et al., 2017). These standardized risk levels address the crime relevant characteristics of individuals in the criminal justice system, the intensity of correctional supervision and rehabilitation programming needed to reduce their risk, their personal strengths, and their expected prognosis. </w:t>
      </w:r>
    </w:p>
    <w:p w:rsidR="000C53C2" w:rsidRPr="003956D0" w:rsidRDefault="000C53C2" w:rsidP="000C53C2">
      <w:pPr>
        <w:spacing w:line="480" w:lineRule="auto"/>
        <w:ind w:firstLine="720"/>
        <w:rPr>
          <w:lang w:val="en-US"/>
        </w:rPr>
      </w:pPr>
      <w:r w:rsidRPr="003956D0">
        <w:rPr>
          <w:lang w:val="en-US"/>
        </w:rPr>
        <w:t xml:space="preserve">For Static-99R, Level I (very low risk) identifies individuals who have no obvious risk relevant propensities and whose five-year risk for a new sexual crime is no different from that of individuals with a history of nonsexual crime. Typically, these are older (60+) men who have sexually offended against family members in previous decades. Level II (below average) are individuals whose expected rate of sexual recidivism is lower than average but still perceptibly higher than the rate among nonsexual offenders. Level II individuals may benefit from some support and supervision, but they are also likely to spontaneously transition to Level I without structured correctional programming. Level III individuals (average risk) are in the middle of the risk distribution. They have crime relevant problems in several areas (e.g., negative attitudes toward authority, sexual preoccupation) and would be expected to require problem-solving supervision and structured correctional programming in order to reduce their risk to Level II. Level IV individuals (IVa - above average and IVb - well above average) have potentially severe, chronic problems in several areas related to the propensity to commit sexual crime. Level IV individuals are expected to require extensive correctional interventions (over years) in order to reduce their risk to Level III. Level IVb is perceptibly higher risk than Level IVa; however, Level IVb is still below the threshold for Level V, for whom the expected recidivism rate is 85% or higher (Hanson et al., 2017). Although Level V is conceptually meaningful, the highest risk individuals identified by Static-99R have observed sexual recidivism rates in the 50% to 60% range (Hanson, Thornton et al., 2016). </w:t>
      </w:r>
      <w:r w:rsidRPr="003956D0">
        <w:rPr>
          <w:lang w:val="en-US"/>
        </w:rPr>
        <w:tab/>
      </w:r>
    </w:p>
    <w:p w:rsidR="000C53C2" w:rsidRPr="00F41840" w:rsidRDefault="000C53C2" w:rsidP="000C53C2">
      <w:pPr>
        <w:spacing w:line="480" w:lineRule="auto"/>
        <w:outlineLvl w:val="0"/>
        <w:rPr>
          <w:b/>
          <w:lang w:val="en-US"/>
        </w:rPr>
      </w:pPr>
      <w:r>
        <w:rPr>
          <w:b/>
          <w:lang w:val="en-US"/>
        </w:rPr>
        <w:t>Plan o</w:t>
      </w:r>
      <w:r w:rsidRPr="00F41840">
        <w:rPr>
          <w:b/>
          <w:lang w:val="en-US"/>
        </w:rPr>
        <w:t>f Analysis</w:t>
      </w:r>
    </w:p>
    <w:p w:rsidR="000C53C2" w:rsidRPr="003956D0" w:rsidRDefault="000C53C2" w:rsidP="000C53C2">
      <w:pPr>
        <w:spacing w:line="480" w:lineRule="auto"/>
        <w:ind w:firstLine="720"/>
        <w:rPr>
          <w:lang w:val="en-US"/>
        </w:rPr>
      </w:pPr>
      <w:r w:rsidRPr="003956D0">
        <w:rPr>
          <w:lang w:val="en-US"/>
        </w:rPr>
        <w:t xml:space="preserve">Hazard rates for sexual recidivism were modelled using discrete time survival analysis (Singer &amp; Willet, 1993, 2003; Willet &amp; Singer, 1993). The follow-up period was divided into 6 month intervals and the probability of sexual recidivism within these intervals was calculated as the number of individuals who were known to have reoffended in that interval divided by the total number of individuals who were at risk in that interval (i.e., had not sexually reoffended in that interval or any prior interval). </w:t>
      </w:r>
    </w:p>
    <w:p w:rsidR="000C53C2" w:rsidRPr="003956D0" w:rsidRDefault="000C53C2" w:rsidP="000C53C2">
      <w:pPr>
        <w:spacing w:line="480" w:lineRule="auto"/>
        <w:ind w:firstLine="720"/>
        <w:rPr>
          <w:lang w:val="en-US"/>
        </w:rPr>
      </w:pPr>
      <w:r w:rsidRPr="003956D0">
        <w:rPr>
          <w:lang w:val="en-US"/>
        </w:rPr>
        <w:t xml:space="preserve">Discrete time survival analysis was used instead of continuous time survival analysis because of our substantive interest in the absolute recidivism rates during particular time periods. With continuous time survival analysis (e.g., Cox regression), the quantity being modelled is </w:t>
      </w:r>
      <w:r w:rsidR="00240B72">
        <w:rPr>
          <w:lang w:val="en-US"/>
        </w:rPr>
        <w:t xml:space="preserve">the instantaneous hazard (Aalen et al., </w:t>
      </w:r>
      <w:r w:rsidRPr="003956D0">
        <w:rPr>
          <w:lang w:val="en-US"/>
        </w:rPr>
        <w:t>2008), which can only be turned into expected recidivism rates by averaging across regions of the cumulative hazard curve. In comparison, the discrete time survival analysis provides a more intuitive approach to estimating absolute recidivism rates.</w:t>
      </w:r>
    </w:p>
    <w:p w:rsidR="000C53C2" w:rsidRPr="003956D0" w:rsidRDefault="000C53C2" w:rsidP="000C53C2">
      <w:pPr>
        <w:spacing w:line="480" w:lineRule="auto"/>
        <w:ind w:firstLine="720"/>
        <w:rPr>
          <w:lang w:val="en-US"/>
        </w:rPr>
      </w:pPr>
      <w:r w:rsidRPr="003956D0">
        <w:rPr>
          <w:lang w:val="en-US"/>
        </w:rPr>
        <w:t xml:space="preserve">The data were organized in a person-period format, in which each row represented the values for one individual during one interval (see Singer &amp; Willet, 2003, §10.5). In our dataset, each individual provided one row </w:t>
      </w:r>
      <w:r w:rsidR="003775DB">
        <w:rPr>
          <w:lang w:val="en-US"/>
        </w:rPr>
        <w:t xml:space="preserve">of data </w:t>
      </w:r>
      <w:r w:rsidRPr="003956D0">
        <w:rPr>
          <w:lang w:val="en-US"/>
        </w:rPr>
        <w:t>for each 6-month period of follow-up (range of 1 to 50 rows, with time truncated at 25 years). Standard logistic regression software was used to model sexual recidivism rates based on time free (interval), time-invariant covariates (e.g., risk scores at release), and time varying covariates (nonsexual recidivism during the follow-up period). This approach provides equivalent results to conventional life-table survival analysis. Although there are some benefits in using a complementary log-log (clog-log) link function (parameters can be interpreted as hazards), the logistic function is widely understood, can be estimated with standard software, and the difference between the two link functions is not detectable when the probabilities are small (&lt; .20; Singer &amp; Willet, 2003</w:t>
      </w:r>
      <w:r>
        <w:rPr>
          <w:lang w:val="en-US"/>
        </w:rPr>
        <w:t xml:space="preserve">, p. </w:t>
      </w:r>
      <w:r w:rsidRPr="003956D0">
        <w:rPr>
          <w:lang w:val="en-US"/>
        </w:rPr>
        <w:t xml:space="preserve">420). In the current study, the largest probability of sexual recidivism for any single interval was 0.0156 (first 6 months following release, i.e., approximately 3% recidivism rate for the first year). When the clog-log link function was used rather than the logistic, the differences were only detectable in the third decimal point, with slightly larger standard errors for the logistic link function compared to clog-log link function. </w:t>
      </w:r>
    </w:p>
    <w:p w:rsidR="000C53C2" w:rsidRPr="003956D0" w:rsidRDefault="000C53C2" w:rsidP="000C53C2">
      <w:pPr>
        <w:spacing w:line="480" w:lineRule="auto"/>
        <w:ind w:firstLine="720"/>
        <w:rPr>
          <w:lang w:val="en-US"/>
        </w:rPr>
      </w:pPr>
      <w:r w:rsidRPr="003956D0">
        <w:rPr>
          <w:lang w:val="en-US"/>
        </w:rPr>
        <w:t xml:space="preserve">Rather than considering each time period as a unique categorical variable, we fitted equations with hazard rates as a function of time. Our statistical models were based on the assumption that changes are gradual; we did not expect abrupt changes in the empirical hazards for adjacent time periods. The adequacy of the smoothed model compared to the full categorical model was tested using the Akaike Information Criteria (AIC; Burnham &amp; Anderson, 2004) and the Bayesian Information Criteria (BIC; Raftery, 1995). Model fit criteria were used because the categorical and continuous models were not nested. In other words, it was impossible to derive the continuous model from the categorical model (each year has its own parameter) by setting parameters to zero. </w:t>
      </w:r>
    </w:p>
    <w:p w:rsidR="000C53C2" w:rsidRPr="003956D0" w:rsidRDefault="000C53C2" w:rsidP="000C53C2">
      <w:pPr>
        <w:spacing w:line="480" w:lineRule="auto"/>
        <w:ind w:firstLine="720"/>
        <w:rPr>
          <w:lang w:val="en-US"/>
        </w:rPr>
      </w:pPr>
      <w:r w:rsidRPr="003956D0">
        <w:rPr>
          <w:lang w:val="en-US"/>
        </w:rPr>
        <w:t>Although derived from different statistical models (Burnham &amp; Anderson, 2004; Raftery, 1995), both the AIC and the BIC are computed based on the deviance (-2 loglikelihood; -2LL) plus a penalty proportional to the number of parameters (</w:t>
      </w:r>
      <w:r w:rsidRPr="003956D0">
        <w:rPr>
          <w:i/>
          <w:lang w:val="en-US"/>
        </w:rPr>
        <w:t>K</w:t>
      </w:r>
      <w:r w:rsidRPr="003956D0">
        <w:rPr>
          <w:lang w:val="en-US"/>
        </w:rPr>
        <w:t xml:space="preserve">) used in the model. Note that the number of parameters includes the intercept, such that </w:t>
      </w:r>
      <w:r w:rsidRPr="003956D0">
        <w:rPr>
          <w:i/>
          <w:lang w:val="en-US"/>
        </w:rPr>
        <w:t>K</w:t>
      </w:r>
      <w:r w:rsidRPr="003956D0">
        <w:rPr>
          <w:lang w:val="en-US"/>
        </w:rPr>
        <w:t xml:space="preserve"> = 2 for a model with one predictor variable. For the AIC, the penalty is twice the number of parameters (AIC = -2LL + 2</w:t>
      </w:r>
      <w:r w:rsidRPr="003956D0">
        <w:rPr>
          <w:i/>
          <w:lang w:val="en-US"/>
        </w:rPr>
        <w:t>K</w:t>
      </w:r>
      <w:r w:rsidRPr="003956D0">
        <w:rPr>
          <w:lang w:val="en-US"/>
        </w:rPr>
        <w:t>), and for the BIC, the penalty is the number of parameters times the natural log of the sample size (BIC = -2LL +  ln(</w:t>
      </w:r>
      <w:r w:rsidRPr="003956D0">
        <w:rPr>
          <w:i/>
          <w:lang w:val="en-US"/>
        </w:rPr>
        <w:t>n</w:t>
      </w:r>
      <w:r w:rsidRPr="003956D0">
        <w:rPr>
          <w:lang w:val="en-US"/>
        </w:rPr>
        <w:t>)</w:t>
      </w:r>
      <w:r w:rsidRPr="003956D0">
        <w:rPr>
          <w:i/>
          <w:lang w:val="en-US"/>
        </w:rPr>
        <w:t>K</w:t>
      </w:r>
      <w:r w:rsidRPr="003956D0">
        <w:rPr>
          <w:lang w:val="en-US"/>
        </w:rPr>
        <w:t xml:space="preserve">). There are three options, however, as to how sample size should be defined in person-period datasets (Raftery, 1995; Singer &amp; Willet, 2003):  the number of individuals (7,225), the number of person-period observations (105,347), or the number of events (791). Following Volinsky and Raftery (2000), we used the number of events for estimating the BIC. </w:t>
      </w:r>
    </w:p>
    <w:p w:rsidR="000C53C2" w:rsidRPr="003956D0" w:rsidRDefault="000C53C2" w:rsidP="000C53C2">
      <w:pPr>
        <w:spacing w:line="480" w:lineRule="auto"/>
        <w:ind w:firstLine="720"/>
        <w:rPr>
          <w:lang w:val="en-US"/>
        </w:rPr>
      </w:pPr>
      <w:r w:rsidRPr="003956D0">
        <w:rPr>
          <w:lang w:val="en-US"/>
        </w:rPr>
        <w:t xml:space="preserve"> The absolute values of AIC or BIC are not interpretable. The difference between models, however, identifies the model that best fits the data</w:t>
      </w:r>
      <w:r w:rsidR="001552B6">
        <w:rPr>
          <w:lang w:val="en-US"/>
        </w:rPr>
        <w:t>. Give</w:t>
      </w:r>
      <w:r w:rsidR="00F541C8">
        <w:rPr>
          <w:lang w:val="en-US"/>
        </w:rPr>
        <w:t>n</w:t>
      </w:r>
      <w:r w:rsidR="001552B6">
        <w:rPr>
          <w:lang w:val="en-US"/>
        </w:rPr>
        <w:t xml:space="preserve"> two models, the model with the lowest AIC/BIC value is the one that best fits the data. For example, if adding a variable (e.g., risk scores) to a</w:t>
      </w:r>
      <w:r w:rsidR="00475B57">
        <w:rPr>
          <w:lang w:val="en-US"/>
        </w:rPr>
        <w:t xml:space="preserve"> recidivism prediction</w:t>
      </w:r>
      <w:r w:rsidR="001552B6">
        <w:rPr>
          <w:lang w:val="en-US"/>
        </w:rPr>
        <w:t xml:space="preserve"> model decreased the AIC/BIC values, this decrease is </w:t>
      </w:r>
      <w:r w:rsidR="00673AD5">
        <w:rPr>
          <w:lang w:val="en-US"/>
        </w:rPr>
        <w:t xml:space="preserve">statistical </w:t>
      </w:r>
      <w:r w:rsidR="001552B6">
        <w:rPr>
          <w:lang w:val="en-US"/>
        </w:rPr>
        <w:t xml:space="preserve">justification </w:t>
      </w:r>
      <w:r w:rsidR="00475B57">
        <w:rPr>
          <w:lang w:val="en-US"/>
        </w:rPr>
        <w:t>that the risk score predicts recidivism</w:t>
      </w:r>
      <w:r w:rsidR="001552B6">
        <w:rPr>
          <w:lang w:val="en-US"/>
        </w:rPr>
        <w:t>.  If the AIC/BIC values stayed the same (or increased)</w:t>
      </w:r>
      <w:r w:rsidR="00673AD5">
        <w:rPr>
          <w:lang w:val="en-US"/>
        </w:rPr>
        <w:t xml:space="preserve"> when a variable is added</w:t>
      </w:r>
      <w:r w:rsidR="001552B6">
        <w:rPr>
          <w:lang w:val="en-US"/>
        </w:rPr>
        <w:t xml:space="preserve">, then the variable is not needed.  </w:t>
      </w:r>
      <w:r w:rsidRPr="003956D0">
        <w:rPr>
          <w:lang w:val="en-US"/>
        </w:rPr>
        <w:t xml:space="preserve">Although there are no absolute standards for evaluating differences in BIC indices, Raftery (1995) suggests </w:t>
      </w:r>
      <w:r w:rsidR="00673AD5">
        <w:rPr>
          <w:lang w:val="en-US"/>
        </w:rPr>
        <w:t xml:space="preserve">that absolute </w:t>
      </w:r>
      <w:r w:rsidRPr="003956D0">
        <w:rPr>
          <w:lang w:val="en-US"/>
        </w:rPr>
        <w:t xml:space="preserve">differences of 0-2 are weak, 2-6 are positive (i.e., likely to be real), 6-10 are strong, and greater than 10 are very strong. </w:t>
      </w:r>
      <w:r w:rsidR="00673AD5">
        <w:rPr>
          <w:lang w:val="en-US"/>
        </w:rPr>
        <w:t xml:space="preserve">In other words, if two models have BIC values with +/- 2 units of each other, then both equally fit the data and model selection should be based on other considerations (e.g., parsimony).  If the BIC for one model is 10 units smaller than another model, then there is very strong statistical support to prefer the model with the lowest BIC value.  </w:t>
      </w:r>
      <w:r w:rsidRPr="003956D0">
        <w:rPr>
          <w:lang w:val="en-US"/>
        </w:rPr>
        <w:t xml:space="preserve">Similarly, Burnham and Anderson (2004) interpret the difference between the minimum AIC </w:t>
      </w:r>
      <w:r w:rsidR="00673AD5">
        <w:rPr>
          <w:lang w:val="en-US"/>
        </w:rPr>
        <w:t xml:space="preserve">observed for all the models considered </w:t>
      </w:r>
      <w:r w:rsidRPr="003956D0">
        <w:rPr>
          <w:lang w:val="en-US"/>
        </w:rPr>
        <w:t xml:space="preserve">and </w:t>
      </w:r>
      <w:r w:rsidR="00673AD5">
        <w:rPr>
          <w:lang w:val="en-US"/>
        </w:rPr>
        <w:t xml:space="preserve">the AIC for any specific model as an indicator of </w:t>
      </w:r>
      <w:r w:rsidRPr="003956D0">
        <w:rPr>
          <w:lang w:val="en-US"/>
        </w:rPr>
        <w:t>the degree of support for the</w:t>
      </w:r>
      <w:r w:rsidR="00673AD5">
        <w:rPr>
          <w:lang w:val="en-US"/>
        </w:rPr>
        <w:t xml:space="preserve"> specific</w:t>
      </w:r>
      <w:r w:rsidRPr="003956D0">
        <w:rPr>
          <w:lang w:val="en-US"/>
        </w:rPr>
        <w:t xml:space="preserve"> model. </w:t>
      </w:r>
      <w:r w:rsidR="00673AD5">
        <w:rPr>
          <w:lang w:val="en-US"/>
        </w:rPr>
        <w:t xml:space="preserve">If the AIC value for the model is the lowest, then it is the best. </w:t>
      </w:r>
      <w:r w:rsidR="004B5853">
        <w:rPr>
          <w:lang w:val="en-US"/>
        </w:rPr>
        <w:t xml:space="preserve">Values close to the lowest indicate equivalent models, and models with larger AIC values are unlikely to be true. </w:t>
      </w:r>
      <w:r w:rsidRPr="003956D0">
        <w:rPr>
          <w:lang w:val="en-US"/>
        </w:rPr>
        <w:t xml:space="preserve">They suggest that </w:t>
      </w:r>
      <w:r w:rsidR="00673AD5">
        <w:rPr>
          <w:lang w:val="en-US"/>
        </w:rPr>
        <w:t xml:space="preserve">absolute </w:t>
      </w:r>
      <w:r w:rsidRPr="003956D0">
        <w:rPr>
          <w:lang w:val="en-US"/>
        </w:rPr>
        <w:t>differences of less than 2 indicate substantial support (good agreement), differences of 4-7 as indicating a model has considerably less support than another, and models that are more than 10 AIC units higher than the minimum model as having “essentially no support.”</w:t>
      </w:r>
      <w:r w:rsidR="00673AD5">
        <w:rPr>
          <w:lang w:val="en-US"/>
        </w:rPr>
        <w:t xml:space="preserve">  </w:t>
      </w:r>
    </w:p>
    <w:p w:rsidR="000C53C2" w:rsidRPr="003956D0" w:rsidRDefault="000C53C2" w:rsidP="000C53C2">
      <w:pPr>
        <w:spacing w:line="480" w:lineRule="auto"/>
        <w:ind w:firstLine="720"/>
        <w:rPr>
          <w:lang w:val="en-US"/>
        </w:rPr>
      </w:pPr>
      <w:r w:rsidRPr="003956D0">
        <w:rPr>
          <w:lang w:val="en-US"/>
        </w:rPr>
        <w:t xml:space="preserve">The adequacy of the logistic models was also examined using the Hosmer-Lemeshow goodness-of-fit test (Hosmer, Lemeshow, &amp; Sturdivant, 2013). This test is the classic Pearson chi-square goodness-of-fit test with the responses grouped into 8-10 equally sized bins (with </w:t>
      </w:r>
      <w:r w:rsidRPr="003956D0">
        <w:rPr>
          <w:i/>
          <w:lang w:val="en-US"/>
        </w:rPr>
        <w:t xml:space="preserve">df </w:t>
      </w:r>
      <w:r w:rsidRPr="003956D0">
        <w:rPr>
          <w:lang w:val="en-US"/>
        </w:rPr>
        <w:t>= bins – 2). Small (non-significant) values indicate acceptable fit to the logistic model. The area under the receiver operating characteristic curve (AUC) was used as an effect size measure of the overall model (i.e., the AUC using the estimated probabilities as predictors; see Hosmer et al., 2013, §5.2.4). In general, the AUC values can be interpreted as the probability that a recidivist would have a higher predicted probability of recidivism than a non-recidivist.</w:t>
      </w:r>
    </w:p>
    <w:p w:rsidR="000C53C2" w:rsidRPr="003956D0" w:rsidRDefault="000C53C2" w:rsidP="000C53C2">
      <w:pPr>
        <w:spacing w:line="480" w:lineRule="auto"/>
        <w:ind w:firstLine="720"/>
        <w:rPr>
          <w:lang w:val="en-US"/>
        </w:rPr>
      </w:pPr>
      <w:r w:rsidRPr="003956D0">
        <w:rPr>
          <w:lang w:val="en-US"/>
        </w:rPr>
        <w:t>All numbers in the manuscript were verified by an independent data analyst (social science Ph.D. student) based on the source datasets. All analyses were conducted using SPSS</w:t>
      </w:r>
      <w:r w:rsidR="008B057D">
        <w:rPr>
          <w:lang w:val="en-US"/>
        </w:rPr>
        <w:t xml:space="preserve"> Version 17</w:t>
      </w:r>
      <w:r w:rsidRPr="003956D0">
        <w:rPr>
          <w:lang w:val="en-US"/>
        </w:rPr>
        <w:t xml:space="preserve">. </w:t>
      </w:r>
    </w:p>
    <w:p w:rsidR="000C53C2" w:rsidRPr="003956D0" w:rsidRDefault="000C53C2" w:rsidP="000C53C2">
      <w:pPr>
        <w:spacing w:line="480" w:lineRule="auto"/>
        <w:jc w:val="center"/>
        <w:outlineLvl w:val="0"/>
        <w:rPr>
          <w:b/>
          <w:lang w:val="en-US"/>
        </w:rPr>
      </w:pPr>
      <w:r w:rsidRPr="003956D0">
        <w:rPr>
          <w:b/>
          <w:lang w:val="en-US"/>
        </w:rPr>
        <w:t>Results</w:t>
      </w:r>
    </w:p>
    <w:p w:rsidR="000C53C2" w:rsidRPr="003956D0" w:rsidRDefault="000C53C2" w:rsidP="000C53C2">
      <w:pPr>
        <w:spacing w:line="480" w:lineRule="auto"/>
        <w:rPr>
          <w:lang w:val="en-US"/>
        </w:rPr>
      </w:pPr>
      <w:r w:rsidRPr="003956D0">
        <w:rPr>
          <w:lang w:val="en-US"/>
        </w:rPr>
        <w:tab/>
        <w:t xml:space="preserve">The person-period dataset contained 105,347 observations (6 month intervals) for 7,225 individuals, of whom 791 were identified as sexual recidivists. The follow-up period ended at 25 years, with 79 individuals entering the 25th year. Using life-table survival analysis, the overall sexual recidivism rate was 9.1% at 5 years, 13.3% at 10 years, 16.2% at 15 years, 18.2% at 20 years, and 18.5% at 25 years. Although the cumulative recidivism rate increased, the five year hazard decreased: 9.1% up to 5 years, 4.1% from 5 to 10 years, 2.9% from 10 to 15 years, 2.0% from 15 to 20 years, and 0.3% from 20 to 25 years. There was only one sexual recidivist after 20 years. </w:t>
      </w:r>
    </w:p>
    <w:p w:rsidR="000C53C2" w:rsidRPr="003956D0" w:rsidRDefault="000C53C2" w:rsidP="000C53C2">
      <w:pPr>
        <w:spacing w:line="480" w:lineRule="auto"/>
        <w:rPr>
          <w:lang w:val="en-US"/>
        </w:rPr>
      </w:pPr>
      <w:r w:rsidRPr="003956D0">
        <w:rPr>
          <w:lang w:val="en-US"/>
        </w:rPr>
        <w:tab/>
        <w:t>The first step in the data analysis was to evaluate the credibility of the statistical model. As would be expected, a logistic model that included time as a continuous variable was more plausible (</w:t>
      </w:r>
      <w:r w:rsidRPr="003956D0">
        <w:rPr>
          <w:i/>
          <w:lang w:val="en-US"/>
        </w:rPr>
        <w:t>k</w:t>
      </w:r>
      <w:r w:rsidRPr="003956D0">
        <w:rPr>
          <w:lang w:val="en-US"/>
        </w:rPr>
        <w:t xml:space="preserve"> = 2; AIC = 9,143.17, BIC = 9,152.52) than the model that considered each time period as independent, categorical variables (</w:t>
      </w:r>
      <w:r w:rsidRPr="003956D0">
        <w:rPr>
          <w:i/>
          <w:lang w:val="en-US"/>
        </w:rPr>
        <w:t>k</w:t>
      </w:r>
      <w:r w:rsidRPr="003956D0">
        <w:rPr>
          <w:lang w:val="en-US"/>
        </w:rPr>
        <w:t xml:space="preserve"> = 50; AIC = 9,189.68; BIC = 9,423.34). For both the AIC and BIC, the differences were large (-46.51 and -270.82, respectively) indicating clear superiority of the continuous model to the (unordered) categorical model. For the continuous model, the Hosmer-Lemeshow test was nonsignificant (χ2</w:t>
      </w:r>
      <w:r w:rsidRPr="003956D0">
        <w:rPr>
          <w:vertAlign w:val="superscript"/>
          <w:lang w:val="en-US"/>
        </w:rPr>
        <w:t xml:space="preserve"> </w:t>
      </w:r>
      <w:r w:rsidRPr="003956D0">
        <w:rPr>
          <w:lang w:val="en-US"/>
        </w:rPr>
        <w:t xml:space="preserve">= 15.24, </w:t>
      </w:r>
      <w:r w:rsidRPr="003956D0">
        <w:rPr>
          <w:i/>
          <w:lang w:val="en-US"/>
        </w:rPr>
        <w:t>df</w:t>
      </w:r>
      <w:r w:rsidRPr="003956D0">
        <w:rPr>
          <w:lang w:val="en-US"/>
        </w:rPr>
        <w:t xml:space="preserve"> = 8, </w:t>
      </w:r>
      <w:r w:rsidRPr="003956D0">
        <w:rPr>
          <w:i/>
          <w:lang w:val="en-US"/>
        </w:rPr>
        <w:t>p</w:t>
      </w:r>
      <w:r w:rsidRPr="003956D0">
        <w:rPr>
          <w:lang w:val="en-US"/>
        </w:rPr>
        <w:t xml:space="preserve"> =.055). The Hosmer-Lemeshow test for the unordered categorical model indicated serious overfitting:  χ</w:t>
      </w:r>
      <w:r w:rsidRPr="003956D0">
        <w:rPr>
          <w:vertAlign w:val="superscript"/>
          <w:lang w:val="en-US"/>
        </w:rPr>
        <w:t>2</w:t>
      </w:r>
      <w:r w:rsidRPr="003956D0">
        <w:rPr>
          <w:lang w:val="en-US"/>
        </w:rPr>
        <w:t xml:space="preserve">  &lt; .00001 (actually it was 2.95 x 10</w:t>
      </w:r>
      <w:r w:rsidRPr="003956D0">
        <w:rPr>
          <w:vertAlign w:val="superscript"/>
          <w:lang w:val="en-US"/>
        </w:rPr>
        <w:t>-13</w:t>
      </w:r>
      <w:r w:rsidRPr="003956D0">
        <w:rPr>
          <w:lang w:val="en-US"/>
        </w:rPr>
        <w:t xml:space="preserve">; </w:t>
      </w:r>
      <w:r w:rsidRPr="003956D0">
        <w:rPr>
          <w:i/>
          <w:lang w:val="en-US"/>
        </w:rPr>
        <w:t xml:space="preserve">df </w:t>
      </w:r>
      <w:r w:rsidRPr="003956D0">
        <w:rPr>
          <w:lang w:val="en-US"/>
        </w:rPr>
        <w:t xml:space="preserve">= 8, </w:t>
      </w:r>
      <w:r w:rsidRPr="003956D0">
        <w:rPr>
          <w:i/>
          <w:lang w:val="en-US"/>
        </w:rPr>
        <w:t>p</w:t>
      </w:r>
      <w:r w:rsidRPr="003956D0">
        <w:rPr>
          <w:lang w:val="en-US"/>
        </w:rPr>
        <w:t xml:space="preserve"> = 1). </w:t>
      </w:r>
    </w:p>
    <w:p w:rsidR="000C53C2" w:rsidRPr="003956D0" w:rsidRDefault="000C53C2" w:rsidP="000C53C2">
      <w:pPr>
        <w:pBdr>
          <w:bottom w:val="single" w:sz="12" w:space="1" w:color="auto"/>
        </w:pBdr>
        <w:spacing w:line="480" w:lineRule="auto"/>
        <w:ind w:firstLine="720"/>
        <w:rPr>
          <w:lang w:val="en-US"/>
        </w:rPr>
      </w:pPr>
      <w:r w:rsidRPr="003956D0">
        <w:rPr>
          <w:lang w:val="en-US"/>
        </w:rPr>
        <w:t>Visually, a logistic model appeared to reasonably represent continuous time and the discrete time hazard (see Figure 1). The ordinate values on the graph (vertical axis) are the proportion of individuals who reoffended sexually each year, given that they have not sexually reoffended in any of the previous years. The error bars ( ± 1.96( (</w:t>
      </w:r>
      <w:r w:rsidRPr="003956D0">
        <w:rPr>
          <w:i/>
          <w:lang w:val="en-US"/>
        </w:rPr>
        <w:t>p</w:t>
      </w:r>
      <w:r w:rsidRPr="003956D0">
        <w:rPr>
          <w:lang w:val="en-US"/>
        </w:rPr>
        <w:t xml:space="preserve"> (1 – </w:t>
      </w:r>
      <w:r w:rsidRPr="003956D0">
        <w:rPr>
          <w:i/>
          <w:lang w:val="en-US"/>
        </w:rPr>
        <w:t>p</w:t>
      </w:r>
      <w:r w:rsidRPr="003956D0">
        <w:rPr>
          <w:lang w:val="en-US"/>
        </w:rPr>
        <w:t>))/</w:t>
      </w:r>
      <w:r w:rsidRPr="003956D0">
        <w:rPr>
          <w:i/>
          <w:lang w:val="en-US"/>
        </w:rPr>
        <w:t>n</w:t>
      </w:r>
      <w:r w:rsidRPr="003956D0">
        <w:rPr>
          <w:lang w:val="en-US"/>
        </w:rPr>
        <w:t xml:space="preserve">) </w:t>
      </w:r>
      <w:r w:rsidRPr="003956D0">
        <w:rPr>
          <w:vertAlign w:val="superscript"/>
          <w:lang w:val="en-US"/>
        </w:rPr>
        <w:t xml:space="preserve">0.5 </w:t>
      </w:r>
      <w:r w:rsidRPr="003956D0">
        <w:rPr>
          <w:lang w:val="en-US"/>
        </w:rPr>
        <w:t xml:space="preserve">) were larger for the later time periods because the absolute number of recidivists was small (for certain cells, only a single individual). When there are no recidivists, there is no variance and the confidence interval was zero. Overall, the logistic model appears to be an adequate basis on which to build subsequent models. </w:t>
      </w:r>
    </w:p>
    <w:p w:rsidR="000C53C2" w:rsidRPr="003956D0" w:rsidRDefault="000C53C2" w:rsidP="000C53C2">
      <w:pPr>
        <w:spacing w:line="480" w:lineRule="auto"/>
        <w:ind w:firstLine="720"/>
        <w:rPr>
          <w:lang w:val="en-US"/>
        </w:rPr>
      </w:pPr>
    </w:p>
    <w:p w:rsidR="000C53C2" w:rsidRPr="003956D0" w:rsidRDefault="000C53C2" w:rsidP="000C53C2">
      <w:pPr>
        <w:pBdr>
          <w:bottom w:val="single" w:sz="12" w:space="1" w:color="auto"/>
        </w:pBdr>
        <w:spacing w:line="480" w:lineRule="auto"/>
        <w:ind w:firstLine="720"/>
        <w:jc w:val="center"/>
        <w:outlineLvl w:val="0"/>
        <w:rPr>
          <w:lang w:val="en-US"/>
        </w:rPr>
      </w:pPr>
      <w:r w:rsidRPr="003956D0">
        <w:rPr>
          <w:lang w:val="en-US"/>
        </w:rPr>
        <w:t>Insert Figure 1 about here</w:t>
      </w:r>
    </w:p>
    <w:p w:rsidR="000C53C2" w:rsidRPr="003956D0" w:rsidRDefault="000C53C2" w:rsidP="000C53C2">
      <w:pPr>
        <w:spacing w:line="480" w:lineRule="auto"/>
        <w:ind w:firstLine="720"/>
        <w:jc w:val="center"/>
        <w:rPr>
          <w:lang w:val="en-US"/>
        </w:rPr>
      </w:pPr>
    </w:p>
    <w:p w:rsidR="000C53C2" w:rsidRPr="003956D0" w:rsidRDefault="000C53C2" w:rsidP="000C53C2">
      <w:pPr>
        <w:pBdr>
          <w:bottom w:val="single" w:sz="12" w:space="1" w:color="auto"/>
        </w:pBdr>
        <w:spacing w:line="480" w:lineRule="auto"/>
        <w:rPr>
          <w:lang w:val="en-US"/>
        </w:rPr>
      </w:pPr>
      <w:r w:rsidRPr="003956D0">
        <w:rPr>
          <w:lang w:val="en-US"/>
        </w:rPr>
        <w:tab/>
        <w:t>A summary of the analyses is presented in Table 4. On its own, each year offense free was associated with a 12% decrease in the odds of recidivism (e</w:t>
      </w:r>
      <w:r w:rsidRPr="003956D0">
        <w:rPr>
          <w:vertAlign w:val="superscript"/>
          <w:lang w:val="en-US"/>
        </w:rPr>
        <w:t>[-.131]</w:t>
      </w:r>
      <w:r w:rsidRPr="003956D0">
        <w:rPr>
          <w:lang w:val="en-US"/>
        </w:rPr>
        <w:t xml:space="preserve"> = .877). As expected, the recidivism rates were related to risk levels as measured by Static-99R (AIC and BIC decreases of greater than 400). No interaction between time free and Static-99R scores was observed (ΔAIC = -1.59; ΔBIC = +3.08), meaning that the relative risk reductions were constant across risk levels. Routine samples had lower recidivism rates than those preselected to be high risk or those preselected as needing treatment. There was no interaction between sample type and time free (ΔAIC = +3.92;  ΔBIC = +18.0; not shown in Table 4). Age was not related to recidivism risk once Static-99R scores were entered, nor was there an interaction between age and time free, meaning that the time free effect applied to sexual offenders of all ages (ΔAIC = +0.60; ΔBIC = +5.27, after controlling for Static-99R and sample type; not shown in Table 4). </w:t>
      </w:r>
    </w:p>
    <w:p w:rsidR="000C53C2" w:rsidRPr="003956D0" w:rsidRDefault="000C53C2" w:rsidP="000C53C2">
      <w:pPr>
        <w:spacing w:line="480" w:lineRule="auto"/>
        <w:rPr>
          <w:lang w:val="en-US"/>
        </w:rPr>
      </w:pPr>
    </w:p>
    <w:p w:rsidR="000C53C2" w:rsidRPr="003956D0" w:rsidRDefault="000C53C2" w:rsidP="000C53C2">
      <w:pPr>
        <w:pBdr>
          <w:bottom w:val="single" w:sz="12" w:space="1" w:color="auto"/>
        </w:pBdr>
        <w:spacing w:line="480" w:lineRule="auto"/>
        <w:jc w:val="center"/>
        <w:outlineLvl w:val="0"/>
        <w:rPr>
          <w:lang w:val="en-US"/>
        </w:rPr>
      </w:pPr>
      <w:r w:rsidRPr="003956D0">
        <w:rPr>
          <w:lang w:val="en-US"/>
        </w:rPr>
        <w:t>Insert Table 4 about here</w:t>
      </w:r>
    </w:p>
    <w:p w:rsidR="000C53C2" w:rsidRPr="003956D0" w:rsidRDefault="000C53C2" w:rsidP="000C53C2">
      <w:pPr>
        <w:spacing w:line="480" w:lineRule="auto"/>
        <w:jc w:val="center"/>
        <w:rPr>
          <w:lang w:val="en-US"/>
        </w:rPr>
      </w:pPr>
    </w:p>
    <w:p w:rsidR="000C53C2" w:rsidRPr="003956D0" w:rsidRDefault="000C53C2" w:rsidP="000C53C2">
      <w:pPr>
        <w:spacing w:line="480" w:lineRule="auto"/>
        <w:rPr>
          <w:lang w:val="en-US"/>
        </w:rPr>
      </w:pPr>
      <w:r w:rsidRPr="003956D0">
        <w:rPr>
          <w:lang w:val="en-US"/>
        </w:rPr>
        <w:tab/>
        <w:t xml:space="preserve">There was some evidence of an interaction between Static-99R and sample type, with higher predictive accuracy (discrimination) in routine samples compared to treatment samples or high risk/high need samples. This interaction was supported by the AIC (-9.9) but not the BIC (+4.14). However, given that this interaction was found in previous research with a related version of this dataset (Hanson, Thornton et al., 2016), the interaction between Static-99R scores and sample type was retained in the model. </w:t>
      </w:r>
    </w:p>
    <w:p w:rsidR="000C53C2" w:rsidRPr="003956D0" w:rsidRDefault="000C53C2" w:rsidP="000C53C2">
      <w:pPr>
        <w:pBdr>
          <w:bottom w:val="single" w:sz="12" w:space="1" w:color="auto"/>
        </w:pBdr>
        <w:spacing w:line="480" w:lineRule="auto"/>
        <w:ind w:firstLine="720"/>
        <w:rPr>
          <w:lang w:val="en-US"/>
        </w:rPr>
      </w:pPr>
      <w:r w:rsidRPr="003956D0">
        <w:rPr>
          <w:lang w:val="en-US"/>
        </w:rPr>
        <w:t>A visual representation of Model 5 (Table 4) is presented in Figure 2. This figure presents the declines in estimated sexual recidivism risk for individuals at five different scores (collectively representing all five initial levels of risk, controlling for sample type and sample type by Static-99R interaction).  These five level</w:t>
      </w:r>
      <w:r w:rsidR="00F541C8">
        <w:rPr>
          <w:lang w:val="en-US"/>
        </w:rPr>
        <w:t>s</w:t>
      </w:r>
      <w:r w:rsidRPr="003956D0">
        <w:rPr>
          <w:lang w:val="en-US"/>
        </w:rPr>
        <w:t xml:space="preserve"> correspond to Static-99R scores from -2 to 6, which cover the 2016 standardized Static-99R risk categories (Hanson, Babchishin et al., 2016: Level I [-2]  - very low risk; Level II [0] – below average risk; Level III [2] – average risk; Level IVa [4] – above average risk and Level IVb [6] – well above average risk. The desistance threshold in Figure 2 was set at a constant 6-month hazard of 0.0019, which is equivalent to observed 5 year sexual recidivism rates of less than 2%. The raw sexual recidivism rates (unadjusted for follow-up time or sample type) were 1.9% (5/260) for Level I, 3.6% (50/1,381) for Level II, 7.6% (226/2,968) for Level III, 14.7% (235/1603) for Level IVa</w:t>
      </w:r>
      <w:r w:rsidR="00F541C8">
        <w:rPr>
          <w:lang w:val="en-US"/>
        </w:rPr>
        <w:t>,</w:t>
      </w:r>
      <w:r w:rsidRPr="003956D0">
        <w:rPr>
          <w:lang w:val="en-US"/>
        </w:rPr>
        <w:t xml:space="preserve"> and 27.5% (279/1,013) for Level IVb.  Note that these raw recidivism rates are somewhat higher than would be expected in routine (unselected) samples because the aggregated sample included a disproportionate number of offenders preselected to be high risk. </w:t>
      </w:r>
    </w:p>
    <w:p w:rsidR="000C53C2" w:rsidRPr="003956D0" w:rsidRDefault="000C53C2" w:rsidP="000C53C2">
      <w:pPr>
        <w:spacing w:line="480" w:lineRule="auto"/>
        <w:ind w:firstLine="720"/>
        <w:jc w:val="center"/>
        <w:rPr>
          <w:lang w:val="en-US"/>
        </w:rPr>
      </w:pPr>
    </w:p>
    <w:p w:rsidR="000C53C2" w:rsidRPr="003956D0" w:rsidRDefault="000C53C2" w:rsidP="000C53C2">
      <w:pPr>
        <w:pBdr>
          <w:bottom w:val="single" w:sz="12" w:space="1" w:color="auto"/>
        </w:pBdr>
        <w:spacing w:line="480" w:lineRule="auto"/>
        <w:ind w:firstLine="720"/>
        <w:jc w:val="center"/>
        <w:outlineLvl w:val="0"/>
        <w:rPr>
          <w:lang w:val="en-US"/>
        </w:rPr>
      </w:pPr>
      <w:r w:rsidRPr="003956D0">
        <w:rPr>
          <w:lang w:val="en-US"/>
        </w:rPr>
        <w:t>Insert Figure 2 about here</w:t>
      </w:r>
    </w:p>
    <w:p w:rsidR="000C53C2" w:rsidRPr="003956D0" w:rsidRDefault="000C53C2" w:rsidP="000C53C2">
      <w:pPr>
        <w:spacing w:line="480" w:lineRule="auto"/>
        <w:ind w:firstLine="720"/>
        <w:jc w:val="center"/>
        <w:rPr>
          <w:lang w:val="en-US"/>
        </w:rPr>
      </w:pPr>
    </w:p>
    <w:p w:rsidR="000C53C2" w:rsidRDefault="000C53C2" w:rsidP="000C53C2">
      <w:pPr>
        <w:spacing w:line="480" w:lineRule="auto"/>
        <w:ind w:firstLine="720"/>
        <w:rPr>
          <w:lang w:val="en-US"/>
        </w:rPr>
      </w:pPr>
      <w:r w:rsidRPr="003956D0">
        <w:rPr>
          <w:lang w:val="en-US"/>
        </w:rPr>
        <w:t xml:space="preserve">Another representation of Model 5 is presented in Figure </w:t>
      </w:r>
      <w:r w:rsidR="00475B57">
        <w:rPr>
          <w:lang w:val="en-US"/>
        </w:rPr>
        <w:t>3</w:t>
      </w:r>
      <w:r w:rsidRPr="003956D0">
        <w:rPr>
          <w:lang w:val="en-US"/>
        </w:rPr>
        <w:t xml:space="preserve">, which shows the risk levels for each combination of initial Static-99R score and the number of years sexual offense free in the community. Given that Level I individuals are below the desistance threshold (Hanson, Babchishin et al., 2016), Figure </w:t>
      </w:r>
      <w:r w:rsidR="00475B57">
        <w:rPr>
          <w:lang w:val="en-US"/>
        </w:rPr>
        <w:t>3</w:t>
      </w:r>
      <w:r w:rsidRPr="003956D0">
        <w:rPr>
          <w:lang w:val="en-US"/>
        </w:rPr>
        <w:t xml:space="preserve"> can be used to estimate the number of years until desistance for each Static-99R score.  It can also be used to estimate adjustments over time to lower risk levels. For example, for individuals with a Static-99R score of -1, they would transition from Level II at 2 years to Level I at 3 years, at which time they would f</w:t>
      </w:r>
      <w:r w:rsidR="003B7E75">
        <w:rPr>
          <w:lang w:val="en-US"/>
        </w:rPr>
        <w:t>all below</w:t>
      </w:r>
      <w:r w:rsidRPr="003956D0">
        <w:rPr>
          <w:lang w:val="en-US"/>
        </w:rPr>
        <w:t xml:space="preserve"> the desistance threshold.</w:t>
      </w:r>
    </w:p>
    <w:p w:rsidR="00475B57" w:rsidRPr="003956D0" w:rsidRDefault="00475B57" w:rsidP="00475B57">
      <w:pPr>
        <w:pBdr>
          <w:bottom w:val="single" w:sz="12" w:space="1" w:color="auto"/>
        </w:pBdr>
        <w:spacing w:line="480" w:lineRule="auto"/>
        <w:ind w:firstLine="720"/>
        <w:rPr>
          <w:lang w:val="en-US"/>
        </w:rPr>
      </w:pPr>
    </w:p>
    <w:p w:rsidR="00475B57" w:rsidRPr="003956D0" w:rsidRDefault="00475B57" w:rsidP="00475B57">
      <w:pPr>
        <w:spacing w:line="480" w:lineRule="auto"/>
        <w:ind w:firstLine="720"/>
        <w:jc w:val="center"/>
        <w:rPr>
          <w:lang w:val="en-US"/>
        </w:rPr>
      </w:pPr>
    </w:p>
    <w:p w:rsidR="00475B57" w:rsidRPr="003956D0" w:rsidRDefault="00475B57" w:rsidP="00475B57">
      <w:pPr>
        <w:pBdr>
          <w:bottom w:val="single" w:sz="12" w:space="1" w:color="auto"/>
        </w:pBdr>
        <w:spacing w:line="480" w:lineRule="auto"/>
        <w:ind w:firstLine="720"/>
        <w:jc w:val="center"/>
        <w:outlineLvl w:val="0"/>
        <w:rPr>
          <w:lang w:val="en-US"/>
        </w:rPr>
      </w:pPr>
      <w:r w:rsidRPr="003956D0">
        <w:rPr>
          <w:lang w:val="en-US"/>
        </w:rPr>
        <w:t xml:space="preserve">Insert Figure </w:t>
      </w:r>
      <w:r>
        <w:rPr>
          <w:lang w:val="en-US"/>
        </w:rPr>
        <w:t>3</w:t>
      </w:r>
      <w:r w:rsidRPr="003956D0">
        <w:rPr>
          <w:lang w:val="en-US"/>
        </w:rPr>
        <w:t xml:space="preserve"> about here</w:t>
      </w:r>
    </w:p>
    <w:p w:rsidR="00475B57" w:rsidRPr="003956D0" w:rsidRDefault="00475B57" w:rsidP="00475B57">
      <w:pPr>
        <w:spacing w:line="480" w:lineRule="auto"/>
        <w:ind w:firstLine="720"/>
        <w:rPr>
          <w:lang w:val="en-US"/>
        </w:rPr>
      </w:pPr>
    </w:p>
    <w:p w:rsidR="000C53C2" w:rsidRDefault="000C53C2" w:rsidP="000C53C2">
      <w:pPr>
        <w:spacing w:line="480" w:lineRule="auto"/>
        <w:ind w:firstLine="720"/>
        <w:rPr>
          <w:lang w:val="en-US"/>
        </w:rPr>
      </w:pPr>
      <w:r w:rsidRPr="003956D0">
        <w:rPr>
          <w:lang w:val="en-US"/>
        </w:rPr>
        <w:t xml:space="preserve">Risk declined over time for individuals at all initial risk levels, and most individuals eventually resembled individuals with no prior history of sexual crime. For individuals in the lowest risk category (Level I, very low risk), their risk was at the desistance threshold at time of release. Individuals in risk </w:t>
      </w:r>
      <w:r w:rsidR="00F541C8">
        <w:rPr>
          <w:lang w:val="en-US"/>
        </w:rPr>
        <w:t>L</w:t>
      </w:r>
      <w:r w:rsidR="00F541C8" w:rsidRPr="003956D0">
        <w:rPr>
          <w:lang w:val="en-US"/>
        </w:rPr>
        <w:t xml:space="preserve">evel </w:t>
      </w:r>
      <w:r w:rsidRPr="003956D0">
        <w:rPr>
          <w:lang w:val="en-US"/>
        </w:rPr>
        <w:t xml:space="preserve">II crossed the desistance threshold between 3 years (Static-99R score of -1) and 6 years (Static-99R score of 0). Individuals assessed as Level III (average risk) crossed the desistance threshold </w:t>
      </w:r>
      <w:r w:rsidR="003B7E75">
        <w:rPr>
          <w:lang w:val="en-US"/>
        </w:rPr>
        <w:t xml:space="preserve">(became a “1”) </w:t>
      </w:r>
      <w:r w:rsidRPr="003956D0">
        <w:rPr>
          <w:lang w:val="en-US"/>
        </w:rPr>
        <w:t>after 8 to 13 years sexual offense free in the community.</w:t>
      </w:r>
      <w:r>
        <w:rPr>
          <w:lang w:val="en-US"/>
        </w:rPr>
        <w:t xml:space="preserve"> For risk L</w:t>
      </w:r>
      <w:r w:rsidRPr="003956D0">
        <w:rPr>
          <w:lang w:val="en-US"/>
        </w:rPr>
        <w:t xml:space="preserve">evel IVa (above average risk), they crossed the desistance threshold by year 16 to 18. Individuals at the low end of Level IVb (Static-99R score of 6) crossed the desistance threshold at year 21. In other words, only individuals with Static-99R scores of 7 or higher (&lt; 4% of the initial cohort) would have a risk of sexual recidivism perceptibly higher than the desistance threshold given that they have remained sexual offense free for 21 years in the community. No individuals who remained sexual offense free for 18 years would be considered to be above average risk.  </w:t>
      </w:r>
    </w:p>
    <w:p w:rsidR="000C53C2" w:rsidRPr="003956D0" w:rsidRDefault="000C53C2" w:rsidP="000C53C2">
      <w:pPr>
        <w:spacing w:line="480" w:lineRule="auto"/>
        <w:ind w:firstLine="720"/>
        <w:rPr>
          <w:lang w:val="en-US"/>
        </w:rPr>
      </w:pPr>
      <w:r w:rsidRPr="003956D0">
        <w:rPr>
          <w:lang w:val="en-US"/>
        </w:rPr>
        <w:t xml:space="preserve">Although it is possible to use Model 5 to estimate the time to desistance for individuals at the very highest risk levels (e.g., 34.5 years from high risk/high need samples with Static-99R scores of 12 – the maximum possible), extending projections beyond 20 years has limited precision as well as limited utility. In our dataset, there was only one sexual recidivist out of the 394 individuals followed between 20 and 25 years, when our follow-up ended. This corresponds to a 5-year recidivism rate of 0.3% in life table survival analysis, well below the desistance threshold of 1.9%. </w:t>
      </w:r>
    </w:p>
    <w:p w:rsidR="000C53C2" w:rsidRPr="007338BB" w:rsidRDefault="000C53C2" w:rsidP="000C53C2">
      <w:pPr>
        <w:spacing w:line="480" w:lineRule="auto"/>
        <w:outlineLvl w:val="0"/>
        <w:rPr>
          <w:b/>
          <w:lang w:val="en-US"/>
        </w:rPr>
      </w:pPr>
      <w:r w:rsidRPr="007338BB">
        <w:rPr>
          <w:b/>
          <w:lang w:val="en-US"/>
        </w:rPr>
        <w:t xml:space="preserve">The </w:t>
      </w:r>
      <w:r>
        <w:rPr>
          <w:b/>
          <w:lang w:val="en-US"/>
        </w:rPr>
        <w:t>Effect of Nonsexual Recidivism o</w:t>
      </w:r>
      <w:r w:rsidRPr="007338BB">
        <w:rPr>
          <w:b/>
          <w:lang w:val="en-US"/>
        </w:rPr>
        <w:t>n Sexual Recidivism Risk</w:t>
      </w:r>
    </w:p>
    <w:p w:rsidR="000C53C2" w:rsidRPr="003956D0" w:rsidRDefault="000C53C2" w:rsidP="000C53C2">
      <w:pPr>
        <w:spacing w:line="480" w:lineRule="auto"/>
        <w:rPr>
          <w:lang w:val="en-US"/>
        </w:rPr>
      </w:pPr>
      <w:r w:rsidRPr="003956D0">
        <w:rPr>
          <w:lang w:val="en-US"/>
        </w:rPr>
        <w:tab/>
        <w:t xml:space="preserve">Of the total 20 datasets, 13 datasets (6 routine, 3 treatment, 2 high risk/high need, 2 other) identified whether individuals reoffended with a nonsexual offense prior to the date of sexual recidivism (or the end of follow-up for nonrecidivists). This reduced dataset included 49,743 observations (6 month intervals) for 4,078 individuals, of whom 1,121 were nonsexual recidivists and 318 were sexual recidivists (122 individuals were both sexual and nonsexual recidivists). </w:t>
      </w:r>
    </w:p>
    <w:p w:rsidR="000C53C2" w:rsidRPr="003956D0" w:rsidRDefault="000C53C2" w:rsidP="000C53C2">
      <w:pPr>
        <w:pBdr>
          <w:bottom w:val="single" w:sz="12" w:space="1" w:color="auto"/>
        </w:pBdr>
        <w:spacing w:line="480" w:lineRule="auto"/>
        <w:rPr>
          <w:lang w:val="en-US"/>
        </w:rPr>
      </w:pPr>
    </w:p>
    <w:p w:rsidR="000C53C2" w:rsidRPr="003956D0" w:rsidRDefault="000C53C2" w:rsidP="000C53C2">
      <w:pPr>
        <w:spacing w:line="480" w:lineRule="auto"/>
        <w:rPr>
          <w:lang w:val="en-US"/>
        </w:rPr>
      </w:pPr>
    </w:p>
    <w:p w:rsidR="000C53C2" w:rsidRPr="003956D0" w:rsidRDefault="000C53C2" w:rsidP="000C53C2">
      <w:pPr>
        <w:pBdr>
          <w:bottom w:val="single" w:sz="12" w:space="1" w:color="auto"/>
        </w:pBdr>
        <w:spacing w:line="480" w:lineRule="auto"/>
        <w:jc w:val="center"/>
        <w:outlineLvl w:val="0"/>
        <w:rPr>
          <w:lang w:val="en-US"/>
        </w:rPr>
      </w:pPr>
      <w:r w:rsidRPr="003956D0">
        <w:rPr>
          <w:lang w:val="en-US"/>
        </w:rPr>
        <w:t>Insert Table 5 about here</w:t>
      </w:r>
    </w:p>
    <w:p w:rsidR="000C53C2" w:rsidRPr="003956D0" w:rsidRDefault="000C53C2" w:rsidP="000C53C2">
      <w:pPr>
        <w:spacing w:line="480" w:lineRule="auto"/>
        <w:rPr>
          <w:lang w:val="en-US"/>
        </w:rPr>
      </w:pPr>
    </w:p>
    <w:p w:rsidR="000C53C2" w:rsidRPr="003956D0" w:rsidRDefault="000C53C2" w:rsidP="000C53C2">
      <w:pPr>
        <w:spacing w:line="480" w:lineRule="auto"/>
        <w:rPr>
          <w:lang w:val="en-US"/>
        </w:rPr>
      </w:pPr>
      <w:r w:rsidRPr="003956D0">
        <w:rPr>
          <w:lang w:val="en-US"/>
        </w:rPr>
        <w:tab/>
        <w:t>As can be seen in Table 5 (Model 5a), the model containing time free, Static-99R, sample type, and the Static-99R/sample type interaction was similar in the reduced sample (</w:t>
      </w:r>
      <w:r w:rsidRPr="003956D0">
        <w:rPr>
          <w:i/>
          <w:lang w:val="en-US"/>
        </w:rPr>
        <w:t>k</w:t>
      </w:r>
      <w:r w:rsidRPr="003956D0">
        <w:rPr>
          <w:lang w:val="en-US"/>
        </w:rPr>
        <w:t xml:space="preserve"> = 13, AUC = .747) as  in the full collection of samples in Table 4 (</w:t>
      </w:r>
      <w:r w:rsidRPr="003956D0">
        <w:rPr>
          <w:i/>
          <w:lang w:val="en-US"/>
        </w:rPr>
        <w:t>k</w:t>
      </w:r>
      <w:r w:rsidRPr="003956D0">
        <w:rPr>
          <w:lang w:val="en-US"/>
        </w:rPr>
        <w:t xml:space="preserve"> =20, AUC = .747). Nonsexual recidivism added incrementally to the model (Model 6), increasing the odds of sexual recidivism by a factor of 1.55 (</w:t>
      </w:r>
      <w:r w:rsidRPr="003956D0">
        <w:rPr>
          <w:i/>
          <w:lang w:val="en-US"/>
        </w:rPr>
        <w:t>e</w:t>
      </w:r>
      <w:r w:rsidRPr="003956D0">
        <w:rPr>
          <w:vertAlign w:val="superscript"/>
          <w:lang w:val="en-US"/>
        </w:rPr>
        <w:t>[.440]</w:t>
      </w:r>
      <w:r w:rsidRPr="003956D0">
        <w:rPr>
          <w:lang w:val="en-US"/>
        </w:rPr>
        <w:t xml:space="preserve"> = 1.55) over the effects of time free, Static-99R, and sample type. This model was an adequate fit to the logistic distribution as indicated by a non-significant Hosmer-Lemeshow test (</w:t>
      </w:r>
      <w:r w:rsidRPr="003956D0">
        <w:rPr>
          <w:i/>
          <w:lang w:val="en-US"/>
        </w:rPr>
        <w:t>χ</w:t>
      </w:r>
      <w:r w:rsidRPr="003956D0">
        <w:rPr>
          <w:i/>
          <w:vertAlign w:val="superscript"/>
          <w:lang w:val="en-US"/>
        </w:rPr>
        <w:t xml:space="preserve">2 </w:t>
      </w:r>
      <w:r w:rsidRPr="003956D0">
        <w:rPr>
          <w:lang w:val="en-US"/>
        </w:rPr>
        <w:t xml:space="preserve"> = 13.25, </w:t>
      </w:r>
      <w:r w:rsidRPr="003956D0">
        <w:rPr>
          <w:i/>
          <w:lang w:val="en-US"/>
        </w:rPr>
        <w:t>df</w:t>
      </w:r>
      <w:r w:rsidRPr="003956D0">
        <w:rPr>
          <w:lang w:val="en-US"/>
        </w:rPr>
        <w:t xml:space="preserve"> = 8, </w:t>
      </w:r>
      <w:r w:rsidRPr="003956D0">
        <w:rPr>
          <w:i/>
          <w:lang w:val="en-US"/>
        </w:rPr>
        <w:t>p</w:t>
      </w:r>
      <w:r w:rsidRPr="003956D0">
        <w:rPr>
          <w:lang w:val="en-US"/>
        </w:rPr>
        <w:t xml:space="preserve"> = .103). The interaction between nonsexual recidivism and time free did not meaningfully add to the model ( ΔAIC  = -1.71;  ΔBIC  = +2.02, not shown in Table 5), nor did the interaction between nonsexual recidivism and risk at release (as measured by Static-99R scores: ΔAIC = -1.95;  ΔBIC = +1.81). In other words, new nonsexual offenses increased the risk of sexual recidivism, but did not erase the sexual offense time free effect. The effect of time free from a sexual offense was independent and incremental to the effect of continued nonsexual offending. In Model 6 (Table 6) the effect of any nonsexual recidivism was </w:t>
      </w:r>
      <w:r w:rsidRPr="003956D0">
        <w:rPr>
          <w:i/>
          <w:lang w:val="en-US"/>
        </w:rPr>
        <w:t>B</w:t>
      </w:r>
      <w:r w:rsidRPr="003956D0">
        <w:rPr>
          <w:lang w:val="en-US"/>
        </w:rPr>
        <w:t xml:space="preserve"> = .440 compared to </w:t>
      </w:r>
      <w:r w:rsidRPr="003956D0">
        <w:rPr>
          <w:i/>
          <w:lang w:val="en-US"/>
        </w:rPr>
        <w:t>B</w:t>
      </w:r>
      <w:r w:rsidRPr="003956D0">
        <w:rPr>
          <w:lang w:val="en-US"/>
        </w:rPr>
        <w:t xml:space="preserve"> = -.135 for each year sexual offense free. Whereas each year time free was associated with a 12% reduction in sexual recidivism risk, a new nonsexual offense was associated with a 55% increase. Another way of visualizing these effects is that nonsexual recidivism resets the individual’s relative risk to what it would have been 3.3 years previously (.440/[.135] = 3.26). </w:t>
      </w:r>
    </w:p>
    <w:p w:rsidR="000C53C2" w:rsidRPr="003956D0" w:rsidRDefault="000C53C2" w:rsidP="000C53C2">
      <w:pPr>
        <w:spacing w:line="480" w:lineRule="auto"/>
        <w:jc w:val="center"/>
        <w:outlineLvl w:val="0"/>
        <w:rPr>
          <w:b/>
          <w:lang w:val="en-US"/>
        </w:rPr>
      </w:pPr>
      <w:r w:rsidRPr="003956D0">
        <w:rPr>
          <w:b/>
          <w:lang w:val="en-US"/>
        </w:rPr>
        <w:t>Discussion</w:t>
      </w:r>
    </w:p>
    <w:p w:rsidR="00B32FC9" w:rsidRDefault="000C53C2" w:rsidP="000C53C2">
      <w:pPr>
        <w:spacing w:line="480" w:lineRule="auto"/>
        <w:ind w:firstLine="720"/>
        <w:rPr>
          <w:lang w:val="en-US"/>
        </w:rPr>
      </w:pPr>
      <w:r w:rsidRPr="003956D0">
        <w:rPr>
          <w:lang w:val="en-US"/>
        </w:rPr>
        <w:t xml:space="preserve">Society has the right and responsibility to protect itself from the truly dangerous. If predators are prowling for victims, we should do what we can to restrict their access to </w:t>
      </w:r>
      <w:r w:rsidR="001F1C67">
        <w:rPr>
          <w:lang w:val="en-US"/>
        </w:rPr>
        <w:t xml:space="preserve">the </w:t>
      </w:r>
      <w:r w:rsidRPr="003956D0">
        <w:rPr>
          <w:lang w:val="en-US"/>
        </w:rPr>
        <w:t>vulnerable</w:t>
      </w:r>
      <w:r w:rsidR="001F1C67">
        <w:rPr>
          <w:lang w:val="en-US"/>
        </w:rPr>
        <w:t>.</w:t>
      </w:r>
      <w:r w:rsidRPr="003956D0">
        <w:rPr>
          <w:lang w:val="en-US"/>
        </w:rPr>
        <w:t xml:space="preserve"> Determining who is actually dangerous, and for how long, turns out to be harder than we thought. As shown in the current study, it takes more than a conviction for a sexual crime to identify individuals who have an enduring risk for sexual crime. The risk for sexual recidivism varies substantially across individuals at the time of sentencing; importantly, </w:t>
      </w:r>
      <w:r w:rsidRPr="00B32FC9">
        <w:rPr>
          <w:lang w:val="en-US"/>
        </w:rPr>
        <w:t>the risk predictably declines the longer individuals remain sexual offense free in the community</w:t>
      </w:r>
      <w:r w:rsidR="00B32FC9">
        <w:rPr>
          <w:lang w:val="en-US"/>
        </w:rPr>
        <w:t xml:space="preserve">. </w:t>
      </w:r>
    </w:p>
    <w:p w:rsidR="000C53C2" w:rsidRPr="003956D0" w:rsidRDefault="000C53C2" w:rsidP="000C53C2">
      <w:pPr>
        <w:spacing w:line="480" w:lineRule="auto"/>
        <w:ind w:firstLine="720"/>
        <w:rPr>
          <w:lang w:val="en-US"/>
        </w:rPr>
      </w:pPr>
      <w:r w:rsidRPr="003956D0">
        <w:rPr>
          <w:lang w:val="en-US"/>
        </w:rPr>
        <w:t xml:space="preserve">Declines were observed for sexual offenders at all risk levels.  In routine samples, the lowest risk individuals (Level I) were below the desistance threshold at time of release. Within 10 to 15 years, the vast majority of individuals with a history of sexual crime will be no more likely to commit a sexual crime than  individuals who have been convicted of a nonsexual crime and who have never been previously convicted of a sexual crime (1% to 2% </w:t>
      </w:r>
      <w:r w:rsidR="005249A4">
        <w:rPr>
          <w:lang w:val="en-US"/>
        </w:rPr>
        <w:t>after 5 years; Kahn et al., 2017</w:t>
      </w:r>
      <w:r w:rsidRPr="003956D0">
        <w:rPr>
          <w:lang w:val="en-US"/>
        </w:rPr>
        <w:t xml:space="preserve">). For individuals classed as Level II (below average), they crossed the desistance threshold between 3 and 6 years after release. For Level III (average), they crossed it between 8 and 13 years, and for IVa (above average), it was between 16 and 18 years. For the highest risk offenders (well above average, IVb), their risk declines to desistance levels after 20 years, although precise estimates for this risk range are difficult to assert given the data available (there was only one sexual recidivist out of the 394 individuals followed between 20 and 25 years). </w:t>
      </w:r>
    </w:p>
    <w:p w:rsidR="000C53C2" w:rsidRPr="003956D0" w:rsidRDefault="000C53C2" w:rsidP="000C53C2">
      <w:pPr>
        <w:spacing w:line="480" w:lineRule="auto"/>
        <w:rPr>
          <w:lang w:val="en-US"/>
        </w:rPr>
      </w:pPr>
      <w:r w:rsidRPr="003956D0">
        <w:rPr>
          <w:lang w:val="en-US"/>
        </w:rPr>
        <w:tab/>
        <w:t>The observed decline in risk based on time offense free is consistent with the broader criminological literature for general (nonsexual) offenders (Blumstein &amp; Nakamura, 2009; Bushway</w:t>
      </w:r>
      <w:r w:rsidR="005D34C8">
        <w:rPr>
          <w:lang w:val="en-US"/>
        </w:rPr>
        <w:t xml:space="preserve"> et al.,</w:t>
      </w:r>
      <w:r w:rsidRPr="003956D0">
        <w:rPr>
          <w:lang w:val="en-US"/>
        </w:rPr>
        <w:t xml:space="preserve"> 2011; Bushway et al., 2001; Kurlycheck, Brame, &amp; </w:t>
      </w:r>
      <w:r w:rsidR="005D34C8">
        <w:rPr>
          <w:lang w:val="en-US"/>
        </w:rPr>
        <w:t xml:space="preserve">Bushway, 2006, 2007; Kurlycheck et al., </w:t>
      </w:r>
      <w:r w:rsidRPr="003956D0">
        <w:rPr>
          <w:lang w:val="en-US"/>
        </w:rPr>
        <w:t>2012; Soothill &amp; Francis, 2009). It is also consistent with previous studies of sexual offenders (Ackerley, Soothill</w:t>
      </w:r>
      <w:r w:rsidR="00F541C8">
        <w:rPr>
          <w:lang w:val="en-US"/>
        </w:rPr>
        <w:t>,</w:t>
      </w:r>
      <w:r w:rsidRPr="003956D0">
        <w:rPr>
          <w:lang w:val="en-US"/>
        </w:rPr>
        <w:t xml:space="preserve"> &amp; Francis, 1998; Amirault &amp; Lussier, 2011; Blokland &amp; van der Geest, 2015; Hanson</w:t>
      </w:r>
      <w:r w:rsidR="00240B72">
        <w:rPr>
          <w:lang w:val="en-US"/>
        </w:rPr>
        <w:t xml:space="preserve"> et al., </w:t>
      </w:r>
      <w:r w:rsidRPr="003956D0">
        <w:rPr>
          <w:lang w:val="en-US"/>
        </w:rPr>
        <w:t>1993; A. J. R. Harris &amp; Hanson, 2004; Nakamura &amp; Blumstein, 2015; Prentky et al., 1997). The reasons for this strong, predictable decline in hazard rates are difficult to infer from the current</w:t>
      </w:r>
      <w:r w:rsidR="001E7599">
        <w:rPr>
          <w:lang w:val="en-US"/>
        </w:rPr>
        <w:t>ly available</w:t>
      </w:r>
      <w:r w:rsidRPr="003956D0">
        <w:rPr>
          <w:lang w:val="en-US"/>
        </w:rPr>
        <w:t xml:space="preserve"> data. </w:t>
      </w:r>
    </w:p>
    <w:p w:rsidR="000C53C2" w:rsidRPr="003956D0" w:rsidRDefault="000C53C2" w:rsidP="000C53C2">
      <w:pPr>
        <w:spacing w:line="480" w:lineRule="auto"/>
        <w:ind w:firstLine="720"/>
        <w:rPr>
          <w:lang w:val="en-US"/>
        </w:rPr>
      </w:pPr>
      <w:r w:rsidRPr="003956D0">
        <w:rPr>
          <w:lang w:val="en-US"/>
        </w:rPr>
        <w:t xml:space="preserve">We expect that part of the effect is attributable to individuals with the greatest propensity for sexual crime reoffending shortly after release (and often), making them, consequently, most likely to be caught and removed from the follow-up sample (the effect of </w:t>
      </w:r>
      <w:r w:rsidRPr="003956D0">
        <w:rPr>
          <w:i/>
          <w:lang w:val="en-US"/>
        </w:rPr>
        <w:t xml:space="preserve">frailty </w:t>
      </w:r>
      <w:r w:rsidRPr="003956D0">
        <w:rPr>
          <w:lang w:val="en-US"/>
        </w:rPr>
        <w:t>in survival analysis [Aalen</w:t>
      </w:r>
      <w:r w:rsidR="00240B72">
        <w:rPr>
          <w:lang w:val="en-US"/>
        </w:rPr>
        <w:t xml:space="preserve"> et al., </w:t>
      </w:r>
      <w:r w:rsidRPr="003956D0">
        <w:rPr>
          <w:lang w:val="en-US"/>
        </w:rPr>
        <w:t>2008]). Notice, however, that the declines in risk based on time offense free applied to individuals at all risk levels, and was only slightly reduced after controlling for the risk measure used in this study, Static-99R. Although Static-99R had moderate predictive accuracy, it does not measure all relevant risk factors (Babchishin, Hanson, &amp; Helmus, 2012; Hanson, Helmus, &amp; Harris, 2015). Consequently, we expect that the early recidivists were actually more risky than other individuals with identical Static-99R scores; however, frailty is unlikely to explain all of the statistical effect of time free on risk. At least part of the decline should be attributed to change within individuals.</w:t>
      </w:r>
    </w:p>
    <w:p w:rsidR="000C53C2" w:rsidRPr="003956D0" w:rsidRDefault="000C53C2" w:rsidP="000C53C2">
      <w:pPr>
        <w:spacing w:line="480" w:lineRule="auto"/>
        <w:ind w:firstLine="720"/>
        <w:rPr>
          <w:lang w:val="en-US"/>
        </w:rPr>
      </w:pPr>
      <w:r w:rsidRPr="003956D0">
        <w:rPr>
          <w:lang w:val="en-US"/>
        </w:rPr>
        <w:t>Offender change is often linked to deliberate intervention (e.g., rehabilitation programs) or the slow, natural process of aging. The effect of interventions depends on both the quality of the intervention (Hanson</w:t>
      </w:r>
      <w:r w:rsidR="005D34C8">
        <w:rPr>
          <w:lang w:val="en-US"/>
        </w:rPr>
        <w:t>, Bourgon, Helmus, &amp; Hodgson,</w:t>
      </w:r>
      <w:r w:rsidRPr="003956D0">
        <w:rPr>
          <w:lang w:val="en-US"/>
        </w:rPr>
        <w:t xml:space="preserve"> 2009) as well as an individual’s response to that treatment (Olver et al., 2016). Some of the individuals in our samples would have participated in well-designed programs that helped them to regulate their risk-relevant propensities. Treatment effects, however, should have been most apparent early in the follow-up period. Treatment effects are not a natural explanation for the gradual decline in risk over decades. Similarly, although aging may explain some of the effects, the time free declines were much larger than would be expected from aging alone. The large cross-sectional study of the statistical effect of age at release by Helmus, Thornton et al. (2012) found that the average statistical effect of a year of aging was a decline to 0.98 of the previous year’s hazard (</w:t>
      </w:r>
      <w:r w:rsidRPr="003956D0">
        <w:rPr>
          <w:i/>
          <w:lang w:val="en-US"/>
        </w:rPr>
        <w:t>B</w:t>
      </w:r>
      <w:r w:rsidRPr="003956D0">
        <w:rPr>
          <w:lang w:val="en-US"/>
        </w:rPr>
        <w:t xml:space="preserve"> = -.02) for sexual recidivism. In comparison, the average effect of a year spent offense free in the community was 6 times larger (.88, </w:t>
      </w:r>
      <w:r w:rsidRPr="003956D0">
        <w:rPr>
          <w:i/>
          <w:lang w:val="en-US"/>
        </w:rPr>
        <w:t>B</w:t>
      </w:r>
      <w:r w:rsidRPr="003956D0">
        <w:rPr>
          <w:lang w:val="en-US"/>
        </w:rPr>
        <w:t xml:space="preserve"> = -.13). </w:t>
      </w:r>
    </w:p>
    <w:p w:rsidR="000C53C2" w:rsidRPr="003956D0" w:rsidRDefault="000C53C2" w:rsidP="000C53C2">
      <w:pPr>
        <w:spacing w:line="480" w:lineRule="auto"/>
        <w:ind w:firstLine="720"/>
        <w:rPr>
          <w:lang w:val="en-US"/>
        </w:rPr>
      </w:pPr>
      <w:r w:rsidRPr="003956D0">
        <w:rPr>
          <w:lang w:val="en-US"/>
        </w:rPr>
        <w:t xml:space="preserve">Something more than frailty, aging, and the effect of treatment is needed to explain the observed time free effects.  One simple explanation is that many individuals eventually learned how to make a prosocial lifestyle rewarding (Andrews &amp; Bonta, 2010; Thornton, 2016). Each time individuals expend energy seeking to make life better in prosocial ways, and they succeed, they accumulate skills, knowledge, and social resources that make it easier to do so again in the future. Each prosocial choice may be uncertain, depending on fluctuating motivation and opportunities; nevertheless, the cumulative effect of successful prosocial choices will make future choices of this kind easier, more self-congruent, and more attractive. </w:t>
      </w:r>
    </w:p>
    <w:p w:rsidR="000C53C2" w:rsidRPr="003956D0" w:rsidRDefault="000C53C2" w:rsidP="000C53C2">
      <w:pPr>
        <w:spacing w:line="480" w:lineRule="auto"/>
        <w:ind w:firstLine="720"/>
        <w:rPr>
          <w:lang w:val="en-US"/>
        </w:rPr>
      </w:pPr>
      <w:r w:rsidRPr="003956D0">
        <w:rPr>
          <w:lang w:val="en-US"/>
        </w:rPr>
        <w:t xml:space="preserve">In support of this view, there is some evidence that individuals with a history of sexual crime are less likely to reoffend when they have workable, prosocial options available. In a series of studies, Willis and colleagues (Scoones, Willis, &amp; Grace, 2012; Willis &amp; Grace, 2008, 2009) have shown that reduced recidivism is associated with high quality release plans that support accommodation, positive social connections, employment, and prosocial, personally meaningful goals. Furthermore, the effect of good release plans was found to be incremental to static and dynamic risk factors (Scoones </w:t>
      </w:r>
      <w:r w:rsidR="005D34C8">
        <w:rPr>
          <w:lang w:val="en-US"/>
        </w:rPr>
        <w:t xml:space="preserve">et al., </w:t>
      </w:r>
      <w:r w:rsidRPr="003956D0">
        <w:rPr>
          <w:lang w:val="en-US"/>
        </w:rPr>
        <w:t xml:space="preserve">2012). Relatedly, McGrath and colleagues (Lasher &amp; McGrath, 2016; McGrath, Lasher, &amp; Cumming, 2012) have found that those who avoided sexual recidivism while under community supervision showed improvements in employment, residence and social influences. Consequently, it is quite plausible that the gradual, multi-year declines in hazard rates documented in the current study are linked to individuals developing increasingly effective, prosocial ways of achieving a satisfying life. </w:t>
      </w:r>
    </w:p>
    <w:p w:rsidR="000C53C2" w:rsidRPr="003956D0" w:rsidRDefault="000C53C2" w:rsidP="000C53C2">
      <w:pPr>
        <w:spacing w:line="480" w:lineRule="auto"/>
        <w:rPr>
          <w:lang w:val="en-US"/>
        </w:rPr>
      </w:pPr>
      <w:r w:rsidRPr="003956D0">
        <w:rPr>
          <w:lang w:val="en-US"/>
        </w:rPr>
        <w:tab/>
        <w:t xml:space="preserve">Regardless of the theoretical explanations, the time free effect is striking, and has considerable practical importance. It would be difficult to accumulate the criminal history associated with high risk scores (e.g., large number of prior sexual and nonsexual offenses) without, at some point, having many of the attributes associated with the onset and persistence of sexual crime. The elevated recidivism rates of the higher risk offenders (Level IVa and IVb) in the first few years following release suggest that, for many, their risk relevant propensities remain unabated. Nevertheless, most (80%) of the higher risk group (Level IV) are never reconvicted for another sexual offense. Among those who remained in the sample, the hazard rates for the vast majority eventually declined to rates equivalent to those presented by lower risk offenders (Level I, Level II) at time of release. Either the initial classification as higher risk was wrong, or the offender changed during the follow-up period. In either case, our findings indicate that the initial classification as “higher risk” should be revised downwards based on extended periods of being in the community and not reoffending sexually. </w:t>
      </w:r>
    </w:p>
    <w:p w:rsidR="000C53C2" w:rsidRPr="00404586" w:rsidRDefault="000C53C2" w:rsidP="000C53C2">
      <w:pPr>
        <w:spacing w:line="480" w:lineRule="auto"/>
        <w:outlineLvl w:val="0"/>
        <w:rPr>
          <w:b/>
          <w:lang w:val="en-US"/>
        </w:rPr>
      </w:pPr>
      <w:r w:rsidRPr="00404586">
        <w:rPr>
          <w:b/>
          <w:lang w:val="en-US"/>
        </w:rPr>
        <w:t>Implications For Policy</w:t>
      </w:r>
    </w:p>
    <w:p w:rsidR="000C53C2" w:rsidRPr="003956D0" w:rsidRDefault="000C53C2" w:rsidP="000C53C2">
      <w:pPr>
        <w:spacing w:line="480" w:lineRule="auto"/>
        <w:ind w:firstLine="720"/>
        <w:rPr>
          <w:lang w:val="en-US"/>
        </w:rPr>
      </w:pPr>
      <w:r w:rsidRPr="003956D0">
        <w:rPr>
          <w:lang w:val="en-US"/>
        </w:rPr>
        <w:t xml:space="preserve">A distinctive feature of modern sex crime policies is the widespread use of social controls external to the criminal justice system, such as community notification, registration, and residency restrictions (Laws, 2016; Logan, 2009; Simon &amp; Leon, 2008). These measures are not intended to be punishments for crimes (Smith v. Doe, 538 U.S. 83 [2003]), even if the individuals targeted perceive them as such (Levenson, Grady, &amp; Leibowitz, 2016). Instead, they are justified on the grounds of public protection. Individuals are targeted because policy-makers believe they are likely to do it again. This is a testable assumption, and, as it turns out, not entirely true. </w:t>
      </w:r>
    </w:p>
    <w:p w:rsidR="000C53C2" w:rsidRPr="003956D0" w:rsidRDefault="000C53C2" w:rsidP="000C53C2">
      <w:pPr>
        <w:spacing w:line="480" w:lineRule="auto"/>
        <w:rPr>
          <w:lang w:val="en-US"/>
        </w:rPr>
      </w:pPr>
      <w:r w:rsidRPr="003956D0">
        <w:rPr>
          <w:lang w:val="en-US"/>
        </w:rPr>
        <w:tab/>
        <w:t>There is strong evidence that a) there is wide variability in recidivism risk for individuals with a history of sexual crime, b) risk predictably declines over time, and c) risk can be very low – so low, in fact, that it becomes indistinguishable from the rate of spontaneous sexual offenses for individuals with no history of sexual crime but who have a history of nonsexual crime. These findings have clear implications for constructing effective public protection policies for sexual offenders.</w:t>
      </w:r>
    </w:p>
    <w:p w:rsidR="000C53C2" w:rsidRPr="003956D0" w:rsidRDefault="000C53C2" w:rsidP="000C53C2">
      <w:pPr>
        <w:spacing w:line="480" w:lineRule="auto"/>
        <w:ind w:firstLine="720"/>
        <w:rPr>
          <w:lang w:val="en-US"/>
        </w:rPr>
      </w:pPr>
      <w:r w:rsidRPr="003956D0">
        <w:rPr>
          <w:lang w:val="en-US"/>
        </w:rPr>
        <w:t xml:space="preserve">First, the most efficient public protection policies will vary their responses according to the level of risk presented. Uniform policies that apply the same strategies to all individuals with a history of sexual crime are likely insufficient to manage the risk of the highest risk offenders, while over managing and wasting resources on individuals whose risk is very low. The implementation of differential supervisory and management responses based on risk requires objective, evidence-based indicators for distinguishing between risk levels. As demonstrated in the current study, such indicators are available for adult offenders, and widely used in corrections and forensic mental health (i.e., the demographic and criminal history variables that comprise Static-99R scores; Hanson, Babchishin et al., 2016). </w:t>
      </w:r>
    </w:p>
    <w:p w:rsidR="000C53C2" w:rsidRPr="003956D0" w:rsidRDefault="000C53C2" w:rsidP="000C53C2">
      <w:pPr>
        <w:spacing w:line="480" w:lineRule="auto"/>
        <w:ind w:firstLine="720"/>
        <w:rPr>
          <w:lang w:val="en-US"/>
        </w:rPr>
      </w:pPr>
      <w:r w:rsidRPr="003956D0">
        <w:rPr>
          <w:lang w:val="en-US"/>
        </w:rPr>
        <w:t>The second implication is that efficient public policy responses need to include a process for reassessment. We cannot assume that our initial risk assessment is accurate and true for life. All systems that classify sexual offenders according to risk level also need a mechanism to reclassify individuals: the individuals who do well should be reassigned to lower risk levels, and individuals who do poorly should be reassigned to higher risk levels. The results of the current study, in particular, justify automatically lowering risk based on the number of years sexual offense free in the community. The diminishing importance of sexual offense history over time is particularly relevant when considering whether civil, public protection measures should be applied retroactively. To paraphrase Kurlychek</w:t>
      </w:r>
      <w:r w:rsidR="005D34C8">
        <w:rPr>
          <w:lang w:val="en-US"/>
        </w:rPr>
        <w:t xml:space="preserve"> et al.</w:t>
      </w:r>
      <w:r w:rsidRPr="003956D0">
        <w:rPr>
          <w:lang w:val="en-US"/>
        </w:rPr>
        <w:t xml:space="preserve"> (2012), any public protection policy that does not allow for diminished risk over time should be immediately suspect. </w:t>
      </w:r>
    </w:p>
    <w:p w:rsidR="000C53C2" w:rsidRPr="003956D0" w:rsidRDefault="000C53C2" w:rsidP="000C53C2">
      <w:pPr>
        <w:spacing w:line="480" w:lineRule="auto"/>
        <w:rPr>
          <w:lang w:val="en-US"/>
        </w:rPr>
      </w:pPr>
      <w:r w:rsidRPr="003956D0">
        <w:rPr>
          <w:lang w:val="en-US"/>
        </w:rPr>
        <w:tab/>
        <w:t>The third implication is that there should be an upper limit to the absolute duration of public protection measures. In the current study, there were few individuals who presented more than a negligible risk after 15 years, and none after twenty years. Although there was one sexual recidivist after 20 years in our dataset, we could not reliably identify a class of individuals whose likelihood of a new sexual offense remained meaningfully greater than the desistance threshold</w:t>
      </w:r>
      <w:r>
        <w:rPr>
          <w:lang w:val="en-US"/>
        </w:rPr>
        <w:t xml:space="preserve"> after 20 years. </w:t>
      </w:r>
      <w:r w:rsidRPr="003956D0">
        <w:rPr>
          <w:lang w:val="en-US"/>
        </w:rPr>
        <w:t xml:space="preserve">Nor have other researchers (e.g., Blokland &amp; van der Geest, 2015, Figure 12.2b; Hargreaves &amp; Francis, 2014). Consequently, life-time restrictions seem to be designed for a category of individuals that do not exist. </w:t>
      </w:r>
    </w:p>
    <w:p w:rsidR="000C53C2" w:rsidRPr="003956D0" w:rsidRDefault="000C53C2" w:rsidP="000C53C2">
      <w:pPr>
        <w:spacing w:line="480" w:lineRule="auto"/>
        <w:rPr>
          <w:lang w:val="en-US"/>
        </w:rPr>
      </w:pPr>
      <w:r w:rsidRPr="003956D0">
        <w:rPr>
          <w:lang w:val="en-US"/>
        </w:rPr>
        <w:tab/>
        <w:t>Critics may argue that we cannot be too safe when it comes to the risk of sexual offenses. Although the harm caused by sexual offenses is serious, there are, however, finite resources that can be accorded to the problem of sexual victimization. From a public protection perspective, it is hard to justify spending these resources on individuals whose objective risk is already very low prior to intervention. Furthermore, available research has not found that long term or lifelong registration and public notification, and the imposition of concomitant restrictions on residence, education, and employment are having the intended effects (Letourneau</w:t>
      </w:r>
      <w:r w:rsidR="00240B72">
        <w:rPr>
          <w:lang w:val="en-US"/>
        </w:rPr>
        <w:t>, Levenson, Bandyopadhyay, Sinha, &amp; Armstrong</w:t>
      </w:r>
      <w:r w:rsidRPr="003956D0">
        <w:rPr>
          <w:lang w:val="en-US"/>
        </w:rPr>
        <w:t xml:space="preserve">, 2010; Levenson &amp; Hern, 2007; Meloy, Miller, &amp; Curtis, 2008; Mustaine, 2014; Simon &amp; Leon, 2008). Consequently, resources would be better spent on activities more likely to reduce the public health burden of sexual victimization, such as facilitating release planning and stable housing (Willis &amp; Grace, 2008, 2009), community treatment for offenders (Schmucker &amp; Lösel, 2015), and counseling services for victims (Taylor &amp; Harvey, 2010).  </w:t>
      </w:r>
    </w:p>
    <w:p w:rsidR="000C53C2" w:rsidRPr="00404586" w:rsidRDefault="000C53C2" w:rsidP="000C53C2">
      <w:pPr>
        <w:spacing w:line="480" w:lineRule="auto"/>
        <w:outlineLvl w:val="0"/>
        <w:rPr>
          <w:b/>
          <w:lang w:val="en-US"/>
        </w:rPr>
      </w:pPr>
      <w:r w:rsidRPr="00404586">
        <w:rPr>
          <w:b/>
          <w:lang w:val="en-US"/>
        </w:rPr>
        <w:t>Implications For Research</w:t>
      </w:r>
    </w:p>
    <w:p w:rsidR="000C53C2" w:rsidRPr="003956D0" w:rsidRDefault="000C53C2" w:rsidP="000C53C2">
      <w:pPr>
        <w:spacing w:line="480" w:lineRule="auto"/>
        <w:rPr>
          <w:lang w:val="en-US"/>
        </w:rPr>
      </w:pPr>
      <w:r w:rsidRPr="003956D0">
        <w:rPr>
          <w:b/>
          <w:lang w:val="en-US"/>
        </w:rPr>
        <w:tab/>
      </w:r>
      <w:r w:rsidRPr="003956D0">
        <w:rPr>
          <w:lang w:val="en-US"/>
        </w:rPr>
        <w:t>The current study supports the need for further research on desistance among sexual offenders, i.e., the characteristics of individuals with a history of sexual offending who no longer present a significant risk for sexual recidivism. Although the current research used relatively simple criminal history variables, it is likely that we could identify individuals who have desisted much sooner by considering the quality of their community adjustment (Lasher &amp; McGrath, 201</w:t>
      </w:r>
      <w:r w:rsidR="005D34C8">
        <w:rPr>
          <w:lang w:val="en-US"/>
        </w:rPr>
        <w:t>7</w:t>
      </w:r>
      <w:r w:rsidRPr="003956D0">
        <w:rPr>
          <w:lang w:val="en-US"/>
        </w:rPr>
        <w:t xml:space="preserve">). One challenge that has vexed desistance research for sexual offenders has been the definition of the index group, i.e., individuals who have stopped sexual offending. Desistance inherently concerns a future that can never be fully known in advance. The observation that individuals have not been caught is an insensitive indicator of actual behavior. Furthermore, we have little reason to trust offenders’ self-report, given that many individuals deny committing the offenses for which they have been convicted. The current study suggests that these problems are not insurmountable. </w:t>
      </w:r>
    </w:p>
    <w:p w:rsidR="000C53C2" w:rsidRPr="003956D0" w:rsidRDefault="000C53C2" w:rsidP="000C53C2">
      <w:pPr>
        <w:spacing w:line="480" w:lineRule="auto"/>
        <w:rPr>
          <w:lang w:val="en-US"/>
        </w:rPr>
      </w:pPr>
      <w:r w:rsidRPr="003956D0">
        <w:rPr>
          <w:lang w:val="en-US"/>
        </w:rPr>
        <w:tab/>
        <w:t xml:space="preserve">The ideal desistance research design would involve follow-up (until death) based on diverse sources of information; however, it would also be possible to use the current findings to inform plausible cross-sectional, case control designs. Individuals identified as below the desistance threshold (Level I) based on criminal history variables and time free could be compared to those at higher risk levels on psychological characteristics (e.g., self-control, attitudes tolerant of sexual offending), lifestyle, community adjustment, or other variables of theoretical interest. Such designs would be much less expensive than follow-up studies, and could be completed within the time frame of typical grant funding (i.e., 2 to 3 years). Furthermore, it is likely that much valuable data are already recorded in administrative databases. Although very long term community supervision of low risk offenders is ineffective public policy, the fact that it commonly occurs provides a source of easily identifiable subjects for desistance research. </w:t>
      </w:r>
    </w:p>
    <w:p w:rsidR="000C53C2" w:rsidRPr="00404586" w:rsidRDefault="000C53C2" w:rsidP="000C53C2">
      <w:pPr>
        <w:spacing w:line="480" w:lineRule="auto"/>
        <w:outlineLvl w:val="0"/>
        <w:rPr>
          <w:b/>
          <w:lang w:val="en-US"/>
        </w:rPr>
      </w:pPr>
      <w:r w:rsidRPr="00404586">
        <w:rPr>
          <w:b/>
          <w:lang w:val="en-US"/>
        </w:rPr>
        <w:t>Limitations</w:t>
      </w:r>
    </w:p>
    <w:p w:rsidR="000C53C2" w:rsidRPr="003956D0" w:rsidRDefault="000C53C2" w:rsidP="000C53C2">
      <w:pPr>
        <w:spacing w:line="480" w:lineRule="auto"/>
        <w:rPr>
          <w:lang w:val="en-US"/>
        </w:rPr>
      </w:pPr>
      <w:r w:rsidRPr="003956D0">
        <w:rPr>
          <w:lang w:val="en-US"/>
        </w:rPr>
        <w:tab/>
        <w:t xml:space="preserve">Given the secretive nature of sexual offending, researchers must always be cognizant of the gap between officially recorded crime and actual behavior. Although the extent to which officially recorded sexual offending tracks offending behavior is unknown, our assumption </w:t>
      </w:r>
      <w:r w:rsidR="00755860">
        <w:rPr>
          <w:lang w:val="en-US"/>
        </w:rPr>
        <w:t>i</w:t>
      </w:r>
      <w:r w:rsidRPr="003956D0">
        <w:rPr>
          <w:lang w:val="en-US"/>
        </w:rPr>
        <w:t>s that it is proportional for sexual and nonsexual offenders at different risk levels. If there are systematic differences in the extent to which sexual and nonsexual offenders are caught for sexual crime, then the current estimates for desistance periods would be incorrect. Our expectation, however, is that the detection rate for sexual crime would be higher for individuals with a history of sexual crime than those without (police would consider them on a shortlist of suspects, and whatever factors lead to their previous convictions would likely still be present). If the detection rate for sexual crime is higher for those with a history of sexual crimes than those without, then the years to desistance estimated in the current study would be too long.</w:t>
      </w:r>
    </w:p>
    <w:p w:rsidR="000C53C2" w:rsidRPr="003956D0" w:rsidRDefault="000C53C2" w:rsidP="000C53C2">
      <w:pPr>
        <w:spacing w:line="480" w:lineRule="auto"/>
        <w:rPr>
          <w:lang w:val="en-US"/>
        </w:rPr>
      </w:pPr>
      <w:r w:rsidRPr="003956D0">
        <w:rPr>
          <w:lang w:val="en-US"/>
        </w:rPr>
        <w:tab/>
        <w:t>Another concern for long-term recidivism studies is the effects of broad societal changes. Estimating recidivism over a 25 year follow-up necessarily entails studying individuals released in the 1980s and 1990s. Although secondary analysis of the current dataset did not find meaningful patterns based on year of release (Helmus, 2009), other studies have found substantial declines in the recidivism rate of adolescents who sexually offended (Caldwell, 2016) and for adult sexual offenders (Minnesota Department of Corrections, 2007). The reasons for these declines are not fully understood, but they are consistent with the overall shift towards lower crime rates (</w:t>
      </w:r>
      <w:r w:rsidRPr="003956D0">
        <w:rPr>
          <w:color w:val="222222"/>
        </w:rPr>
        <w:t>Blumstein &amp; Wallman, 2006)</w:t>
      </w:r>
      <w:r w:rsidRPr="003956D0">
        <w:rPr>
          <w:lang w:val="en-US"/>
        </w:rPr>
        <w:t xml:space="preserve"> and greater risk aversion in the general population (Mishra &amp; Lalumière, 2009). </w:t>
      </w:r>
      <w:r w:rsidRPr="003956D0">
        <w:rPr>
          <w:lang w:val="en-US"/>
        </w:rPr>
        <w:tab/>
      </w:r>
    </w:p>
    <w:p w:rsidR="000C53C2" w:rsidRPr="003956D0" w:rsidRDefault="000C53C2" w:rsidP="000C53C2">
      <w:pPr>
        <w:spacing w:line="480" w:lineRule="auto"/>
        <w:ind w:firstLine="720"/>
        <w:rPr>
          <w:lang w:val="en-US"/>
        </w:rPr>
      </w:pPr>
      <w:r w:rsidRPr="003956D0">
        <w:rPr>
          <w:lang w:val="en-US"/>
        </w:rPr>
        <w:t>The study only examined adult males and should not be generalized to youth or adult women. Given the predictable age-crime curve during adolescence, it is very likely that the time free effects are even greater for teenagers than for adults (</w:t>
      </w:r>
      <w:r w:rsidRPr="003956D0">
        <w:rPr>
          <w:color w:val="222222"/>
        </w:rPr>
        <w:t>Hargreaves &amp; Francis, 2014)</w:t>
      </w:r>
      <w:r w:rsidRPr="003956D0">
        <w:rPr>
          <w:lang w:val="en-US"/>
        </w:rPr>
        <w:t xml:space="preserve">. The highest risk period for being charged with a sexual offense is early adolescence (ages 13 and 14; </w:t>
      </w:r>
      <w:r w:rsidRPr="003956D0">
        <w:rPr>
          <w:color w:val="222222"/>
        </w:rPr>
        <w:t>Cotter &amp; Beaupré, 2014, Chart 7</w:t>
      </w:r>
      <w:r w:rsidRPr="003956D0">
        <w:rPr>
          <w:lang w:val="en-US"/>
        </w:rPr>
        <w:t xml:space="preserve">); however, the sexual recidivism rate of adolescents is lower than for adults (Caldwell, 2016). Given the developmental instability of youth, it would be a mistake to consider young people who have committed sexual crime to be equivalent to adults who have committed similar criminal code offenses (Letourneau &amp; Caldwell, 2013). </w:t>
      </w:r>
    </w:p>
    <w:p w:rsidR="000C53C2" w:rsidRPr="003956D0" w:rsidRDefault="000C53C2" w:rsidP="000C53C2">
      <w:pPr>
        <w:spacing w:line="480" w:lineRule="auto"/>
        <w:jc w:val="center"/>
        <w:outlineLvl w:val="0"/>
        <w:rPr>
          <w:b/>
          <w:lang w:val="en-US"/>
        </w:rPr>
      </w:pPr>
      <w:r w:rsidRPr="003956D0">
        <w:rPr>
          <w:b/>
          <w:lang w:val="en-US"/>
        </w:rPr>
        <w:t>Conclusions</w:t>
      </w:r>
    </w:p>
    <w:p w:rsidR="000C53C2" w:rsidRDefault="000C53C2" w:rsidP="00B32FC9">
      <w:pPr>
        <w:spacing w:line="480" w:lineRule="auto"/>
        <w:ind w:firstLine="720"/>
        <w:rPr>
          <w:lang w:val="en-US"/>
        </w:rPr>
      </w:pPr>
      <w:r w:rsidRPr="003956D0">
        <w:rPr>
          <w:lang w:val="en-US"/>
        </w:rPr>
        <w:t xml:space="preserve">The vast majority of individuals with a history of sexual crime desist from further sexual crime. Although sexual crime has serious consequences, and invokes considerable public concern, there is no evidence that individuals who have committed such offenses inevitably present a lifelong enduring risk of sexual recidivism. Critics may argue that the near zero recidivism rates observed in the current study should not be trusted because most sexual crimes remain undetected. This type of argument, however, distances policy decisions from evidence. If the goal is increased public protection (not retribution or punishment), then efficient policies would be proportional to the risk presented. </w:t>
      </w:r>
      <w:r w:rsidR="00755860">
        <w:rPr>
          <w:lang w:val="en-US"/>
        </w:rPr>
        <w:t xml:space="preserve">Risk in </w:t>
      </w:r>
      <w:r w:rsidRPr="003956D0">
        <w:rPr>
          <w:lang w:val="en-US"/>
        </w:rPr>
        <w:t>most individuals with a history of sexual crime</w:t>
      </w:r>
      <w:r w:rsidR="00B32FC9">
        <w:rPr>
          <w:lang w:val="en-US"/>
        </w:rPr>
        <w:t xml:space="preserve"> </w:t>
      </w:r>
      <w:r w:rsidRPr="003956D0">
        <w:rPr>
          <w:lang w:val="en-US"/>
        </w:rPr>
        <w:t xml:space="preserve">will eventually decline to levels that are difficult to distinguish from the risk presented by the general population. Instead of depleting resources on such low risk individuals, sexual victimization would be better addressed by increased focus on truly high risk individuals, primary prevention, and </w:t>
      </w:r>
      <w:r w:rsidR="00B32FC9">
        <w:rPr>
          <w:lang w:val="en-US"/>
        </w:rPr>
        <w:t>v</w:t>
      </w:r>
      <w:r w:rsidRPr="003956D0">
        <w:rPr>
          <w:lang w:val="en-US"/>
        </w:rPr>
        <w:t xml:space="preserve">ictim services. </w:t>
      </w:r>
    </w:p>
    <w:p w:rsidR="00B32FC9" w:rsidRPr="003956D0" w:rsidRDefault="00B32FC9" w:rsidP="00B32FC9">
      <w:pPr>
        <w:spacing w:line="480" w:lineRule="auto"/>
        <w:ind w:firstLine="720"/>
        <w:rPr>
          <w:lang w:val="en-US"/>
        </w:rPr>
      </w:pPr>
    </w:p>
    <w:p w:rsidR="000C53C2" w:rsidRPr="003956D0" w:rsidRDefault="000C53C2" w:rsidP="000C53C2">
      <w:pPr>
        <w:rPr>
          <w:lang w:val="en-US"/>
        </w:rPr>
      </w:pPr>
      <w:r w:rsidRPr="003956D0">
        <w:rPr>
          <w:lang w:val="en-US"/>
        </w:rPr>
        <w:br w:type="page"/>
      </w:r>
    </w:p>
    <w:p w:rsidR="000C53C2" w:rsidRPr="003956D0" w:rsidRDefault="000C53C2" w:rsidP="000C53C2">
      <w:pPr>
        <w:spacing w:line="360" w:lineRule="auto"/>
        <w:jc w:val="center"/>
        <w:outlineLvl w:val="0"/>
        <w:rPr>
          <w:lang w:val="en-US"/>
        </w:rPr>
      </w:pPr>
      <w:r w:rsidRPr="003956D0">
        <w:rPr>
          <w:lang w:val="en-US"/>
        </w:rPr>
        <w:t xml:space="preserve">References  </w:t>
      </w:r>
    </w:p>
    <w:p w:rsidR="000C53C2" w:rsidRPr="003956D0" w:rsidRDefault="000C53C2" w:rsidP="000C53C2">
      <w:pPr>
        <w:spacing w:line="360" w:lineRule="auto"/>
        <w:jc w:val="center"/>
        <w:rPr>
          <w:lang w:val="en-US"/>
        </w:rPr>
      </w:pPr>
      <w:r w:rsidRPr="003956D0">
        <w:rPr>
          <w:lang w:val="en-US"/>
        </w:rPr>
        <w:t>(* indicates studies included in the analysis)</w:t>
      </w:r>
    </w:p>
    <w:p w:rsidR="000C53C2" w:rsidRPr="003956D0" w:rsidRDefault="000C53C2" w:rsidP="000C53C2">
      <w:pPr>
        <w:spacing w:line="480" w:lineRule="auto"/>
        <w:ind w:left="432" w:hanging="432"/>
        <w:rPr>
          <w:color w:val="222222"/>
        </w:rPr>
      </w:pPr>
      <w:r w:rsidRPr="003956D0">
        <w:rPr>
          <w:color w:val="222222"/>
        </w:rPr>
        <w:t xml:space="preserve">Aalen, O. O., Borgan, Ø., &amp; Gjessing, H. (2008). </w:t>
      </w:r>
      <w:r w:rsidRPr="003956D0">
        <w:rPr>
          <w:i/>
          <w:iCs/>
          <w:color w:val="222222"/>
        </w:rPr>
        <w:t xml:space="preserve">Survival and event history analysis: </w:t>
      </w:r>
      <w:r w:rsidR="005249A4">
        <w:rPr>
          <w:i/>
          <w:iCs/>
          <w:color w:val="222222"/>
        </w:rPr>
        <w:t>A</w:t>
      </w:r>
      <w:r w:rsidRPr="003956D0">
        <w:rPr>
          <w:i/>
          <w:iCs/>
          <w:color w:val="222222"/>
        </w:rPr>
        <w:t xml:space="preserve"> process point of view</w:t>
      </w:r>
      <w:r w:rsidRPr="003956D0">
        <w:rPr>
          <w:i/>
          <w:color w:val="222222"/>
        </w:rPr>
        <w:t>.</w:t>
      </w:r>
      <w:r w:rsidRPr="003956D0">
        <w:rPr>
          <w:color w:val="222222"/>
        </w:rPr>
        <w:t xml:space="preserve"> New York: Springer.</w:t>
      </w:r>
    </w:p>
    <w:p w:rsidR="000C53C2" w:rsidRPr="003956D0" w:rsidRDefault="000C53C2" w:rsidP="000C53C2">
      <w:pPr>
        <w:spacing w:line="480" w:lineRule="auto"/>
        <w:ind w:left="432" w:hanging="432"/>
        <w:rPr>
          <w:rStyle w:val="personname"/>
        </w:rPr>
      </w:pPr>
      <w:r w:rsidRPr="003956D0">
        <w:rPr>
          <w:rStyle w:val="personname"/>
        </w:rPr>
        <w:t xml:space="preserve">Ackerley, E., Soothill, K. L., &amp; Francis, B. J. (1998). When do sex offenders stop offending? </w:t>
      </w:r>
      <w:r w:rsidRPr="003956D0">
        <w:rPr>
          <w:rStyle w:val="personname"/>
          <w:i/>
        </w:rPr>
        <w:t>Home Office Research Bulletin, 39</w:t>
      </w:r>
      <w:r w:rsidRPr="003956D0">
        <w:rPr>
          <w:rStyle w:val="personname"/>
        </w:rPr>
        <w:t>, 51-58.</w:t>
      </w:r>
    </w:p>
    <w:p w:rsidR="000C53C2" w:rsidRPr="003956D0" w:rsidRDefault="000C53C2" w:rsidP="000C53C2">
      <w:pPr>
        <w:spacing w:line="480" w:lineRule="auto"/>
        <w:ind w:left="432" w:hanging="432"/>
        <w:rPr>
          <w:bCs/>
          <w:iCs/>
        </w:rPr>
      </w:pPr>
      <w:r w:rsidRPr="003956D0">
        <w:rPr>
          <w:bCs/>
          <w:iCs/>
        </w:rPr>
        <w:t xml:space="preserve">*Allan, M., Grace, R. C., Rutherford, B., &amp; Hudson, S. M. (2007). Psychometric assessment of dynamic risk factors for child molesters. </w:t>
      </w:r>
      <w:r w:rsidRPr="003956D0">
        <w:rPr>
          <w:bCs/>
          <w:i/>
          <w:iCs/>
        </w:rPr>
        <w:t>Sexual Abuse: A Journal of Research and Treatment, 19</w:t>
      </w:r>
      <w:r w:rsidRPr="003956D0">
        <w:rPr>
          <w:bCs/>
          <w:iCs/>
        </w:rPr>
        <w:t>, 347-367. doi:10.1007/s11194-007-9052-5</w:t>
      </w:r>
    </w:p>
    <w:p w:rsidR="000C53C2" w:rsidRPr="003956D0" w:rsidRDefault="000C53C2" w:rsidP="000C53C2">
      <w:pPr>
        <w:pStyle w:val="Reference"/>
        <w:numPr>
          <w:ilvl w:val="0"/>
          <w:numId w:val="0"/>
        </w:numPr>
        <w:spacing w:before="0" w:line="480" w:lineRule="auto"/>
        <w:ind w:left="432" w:hanging="432"/>
        <w:rPr>
          <w:szCs w:val="24"/>
          <w:lang w:val="en-CA" w:eastAsia="en-CA"/>
        </w:rPr>
      </w:pPr>
      <w:r w:rsidRPr="003956D0">
        <w:rPr>
          <w:szCs w:val="24"/>
          <w:lang w:val="en-CA" w:eastAsia="en-CA"/>
        </w:rPr>
        <w:t xml:space="preserve">Amirault, J., &amp; Lussier, P. (2011). Population heterogeneity, state dependence and sexual offender recidivism: The aging process and the lost predictive impact of prior criminal charges over time. </w:t>
      </w:r>
      <w:r w:rsidRPr="003956D0">
        <w:rPr>
          <w:i/>
          <w:szCs w:val="24"/>
          <w:lang w:val="en-CA" w:eastAsia="en-CA"/>
        </w:rPr>
        <w:t>Journal of Criminal Justice, 39</w:t>
      </w:r>
      <w:r w:rsidRPr="003956D0">
        <w:rPr>
          <w:szCs w:val="24"/>
          <w:lang w:val="en-CA" w:eastAsia="en-CA"/>
        </w:rPr>
        <w:t xml:space="preserve">, 344-354. doi:10.1016/j.jcrimjus.2011.04.001 </w:t>
      </w:r>
    </w:p>
    <w:p w:rsidR="000C53C2" w:rsidRPr="003956D0" w:rsidRDefault="000C53C2" w:rsidP="000C53C2">
      <w:pPr>
        <w:pStyle w:val="Reference"/>
        <w:numPr>
          <w:ilvl w:val="0"/>
          <w:numId w:val="0"/>
        </w:numPr>
        <w:spacing w:before="0" w:line="480" w:lineRule="auto"/>
        <w:ind w:left="432" w:hanging="432"/>
        <w:rPr>
          <w:color w:val="000000" w:themeColor="text1"/>
          <w:szCs w:val="24"/>
          <w:lang w:val="en-US"/>
        </w:rPr>
      </w:pPr>
      <w:r w:rsidRPr="003956D0">
        <w:rPr>
          <w:color w:val="000000" w:themeColor="text1"/>
          <w:szCs w:val="24"/>
          <w:lang w:val="en-US"/>
        </w:rPr>
        <w:t xml:space="preserve">Andrews, D. A., &amp; Bonta, J. (2010). </w:t>
      </w:r>
      <w:r w:rsidRPr="003956D0">
        <w:rPr>
          <w:i/>
          <w:color w:val="000000" w:themeColor="text1"/>
          <w:szCs w:val="24"/>
          <w:lang w:val="en-US"/>
        </w:rPr>
        <w:t>The psychology of criminal conduct,</w:t>
      </w:r>
      <w:r w:rsidRPr="003956D0">
        <w:rPr>
          <w:color w:val="000000" w:themeColor="text1"/>
          <w:szCs w:val="24"/>
          <w:lang w:val="en-US"/>
        </w:rPr>
        <w:t xml:space="preserve"> 5th ed.</w:t>
      </w:r>
      <w:r w:rsidRPr="003956D0">
        <w:rPr>
          <w:i/>
          <w:color w:val="000000" w:themeColor="text1"/>
          <w:szCs w:val="24"/>
          <w:lang w:val="en-US"/>
        </w:rPr>
        <w:t xml:space="preserve"> </w:t>
      </w:r>
      <w:r w:rsidRPr="003956D0">
        <w:rPr>
          <w:color w:val="000000" w:themeColor="text1"/>
          <w:szCs w:val="24"/>
          <w:lang w:val="en-US"/>
        </w:rPr>
        <w:t>New Providence, NJ: LexisNexis Matthew Bender.</w:t>
      </w:r>
    </w:p>
    <w:p w:rsidR="000C53C2" w:rsidRPr="003956D0" w:rsidRDefault="000C53C2" w:rsidP="000C53C2">
      <w:pPr>
        <w:spacing w:line="480" w:lineRule="auto"/>
        <w:ind w:left="432" w:hanging="432"/>
        <w:rPr>
          <w:color w:val="222222"/>
          <w:lang w:val="en-US"/>
        </w:rPr>
      </w:pPr>
      <w:r w:rsidRPr="003956D0">
        <w:rPr>
          <w:color w:val="222222"/>
        </w:rPr>
        <w:t xml:space="preserve">Andrews, D. A., Bonta, J., &amp; Hoge., R. D. (1990). </w:t>
      </w:r>
      <w:r w:rsidRPr="003956D0">
        <w:rPr>
          <w:color w:val="222222"/>
          <w:lang w:val="en-US"/>
        </w:rPr>
        <w:t>Classification for effective rehabilitation: Rediscovering psychology.</w:t>
      </w:r>
      <w:r w:rsidRPr="003956D0">
        <w:rPr>
          <w:i/>
          <w:iCs/>
          <w:color w:val="222222"/>
          <w:lang w:val="en-US"/>
        </w:rPr>
        <w:t> Criminal Justice and Behavior, 17</w:t>
      </w:r>
      <w:r w:rsidRPr="003956D0">
        <w:rPr>
          <w:color w:val="222222"/>
          <w:lang w:val="en-US"/>
        </w:rPr>
        <w:t>, 19-52. doi:10.1177/009385489001700100</w:t>
      </w:r>
    </w:p>
    <w:p w:rsidR="000C53C2" w:rsidRPr="003956D0" w:rsidRDefault="000C53C2" w:rsidP="000C53C2">
      <w:pPr>
        <w:spacing w:line="480" w:lineRule="auto"/>
        <w:ind w:left="432" w:hanging="432"/>
        <w:rPr>
          <w:color w:val="000000"/>
          <w:lang w:val="de-DE"/>
        </w:rPr>
      </w:pPr>
      <w:r w:rsidRPr="003956D0">
        <w:rPr>
          <w:color w:val="000000"/>
          <w:lang w:val="de-DE"/>
        </w:rPr>
        <w:t xml:space="preserve">Babchishin, K. M., Hanson, R. K., &amp; Helmus, L. (2012). Even highly correlated measures can add incrementally to predicting recidivism among sex offenders. </w:t>
      </w:r>
      <w:r w:rsidRPr="003956D0">
        <w:rPr>
          <w:i/>
          <w:color w:val="000000"/>
          <w:lang w:val="de-DE"/>
        </w:rPr>
        <w:t>Assessment, 19</w:t>
      </w:r>
      <w:r w:rsidRPr="003956D0">
        <w:rPr>
          <w:color w:val="000000"/>
          <w:lang w:val="de-DE"/>
        </w:rPr>
        <w:t xml:space="preserve">, 442-461. doi:10.1177/1073191112458312 </w:t>
      </w:r>
    </w:p>
    <w:p w:rsidR="000C53C2" w:rsidRPr="001368CE" w:rsidRDefault="000C53C2" w:rsidP="000C53C2">
      <w:pPr>
        <w:spacing w:line="480" w:lineRule="auto"/>
        <w:ind w:left="432" w:hanging="432"/>
        <w:rPr>
          <w:color w:val="000000"/>
          <w:lang w:val="de-DE"/>
        </w:rPr>
      </w:pPr>
      <w:r w:rsidRPr="003956D0">
        <w:t>*</w:t>
      </w:r>
      <w:r w:rsidRPr="003956D0">
        <w:rPr>
          <w:lang w:val="en-US"/>
        </w:rPr>
        <w:t>Bartosh, D. L., Garby, T., Lewis, D., &amp; Gray, S. (2003). Differences in the predictive validity of actuarial risk assessments in relation to sex offender type.</w:t>
      </w:r>
      <w:r w:rsidRPr="003956D0">
        <w:rPr>
          <w:i/>
          <w:iCs/>
          <w:lang w:val="en-US"/>
        </w:rPr>
        <w:t> International Journal of Offender Therapy and Comparative Criminology, 47</w:t>
      </w:r>
      <w:r w:rsidRPr="003956D0">
        <w:rPr>
          <w:lang w:val="en-US"/>
        </w:rPr>
        <w:t>, 422-438. doi:10.1177/0306624X03253850</w:t>
      </w:r>
    </w:p>
    <w:p w:rsidR="000C53C2" w:rsidRPr="003956D0" w:rsidRDefault="000C53C2" w:rsidP="000C53C2">
      <w:pPr>
        <w:spacing w:line="480" w:lineRule="auto"/>
        <w:ind w:left="432" w:hanging="432"/>
        <w:rPr>
          <w:bCs/>
          <w:lang w:val="fr-CA"/>
        </w:rPr>
      </w:pPr>
      <w:r w:rsidRPr="003956D0">
        <w:rPr>
          <w:bCs/>
        </w:rPr>
        <w:t>*</w:t>
      </w:r>
      <w:r w:rsidRPr="003956D0">
        <w:t xml:space="preserve"> </w:t>
      </w:r>
      <w:r w:rsidRPr="003956D0">
        <w:rPr>
          <w:bCs/>
        </w:rPr>
        <w:t xml:space="preserve">Bengtson, S. (2008). Is newer better? A cross-validation of the </w:t>
      </w:r>
      <w:r w:rsidR="00057BF3">
        <w:rPr>
          <w:bCs/>
        </w:rPr>
        <w:t>S</w:t>
      </w:r>
      <w:r w:rsidRPr="003956D0">
        <w:rPr>
          <w:bCs/>
        </w:rPr>
        <w:t>tatic-2002 and the</w:t>
      </w:r>
      <w:r w:rsidR="00057BF3">
        <w:rPr>
          <w:bCs/>
        </w:rPr>
        <w:t xml:space="preserve"> R</w:t>
      </w:r>
      <w:r w:rsidRPr="003956D0">
        <w:rPr>
          <w:bCs/>
        </w:rPr>
        <w:t xml:space="preserve">isk </w:t>
      </w:r>
      <w:r w:rsidR="005D34C8">
        <w:rPr>
          <w:bCs/>
        </w:rPr>
        <w:t>M</w:t>
      </w:r>
      <w:r w:rsidRPr="003956D0">
        <w:rPr>
          <w:bCs/>
        </w:rPr>
        <w:t xml:space="preserve">atrix 2000 in a </w:t>
      </w:r>
      <w:r w:rsidR="00057BF3">
        <w:rPr>
          <w:bCs/>
        </w:rPr>
        <w:t>D</w:t>
      </w:r>
      <w:r w:rsidRPr="003956D0">
        <w:rPr>
          <w:bCs/>
        </w:rPr>
        <w:t xml:space="preserve">anish sample of sexual offenders. </w:t>
      </w:r>
      <w:r w:rsidRPr="000C53C2">
        <w:rPr>
          <w:bCs/>
          <w:i/>
          <w:lang w:val="fr-CA"/>
        </w:rPr>
        <w:t>Psychology, Crime &amp; Law, 14</w:t>
      </w:r>
      <w:r w:rsidRPr="000C53C2">
        <w:rPr>
          <w:bCs/>
          <w:lang w:val="fr-CA"/>
        </w:rPr>
        <w:t>, 85-106. doi:10.1080/10683160701483104</w:t>
      </w:r>
    </w:p>
    <w:p w:rsidR="000C53C2" w:rsidRPr="003956D0" w:rsidRDefault="000C53C2" w:rsidP="000C53C2">
      <w:pPr>
        <w:spacing w:line="480" w:lineRule="auto"/>
        <w:ind w:left="432" w:hanging="432"/>
        <w:rPr>
          <w:bCs/>
        </w:rPr>
      </w:pPr>
      <w:r w:rsidRPr="003956D0">
        <w:rPr>
          <w:bCs/>
          <w:iCs/>
          <w:lang w:val="fr-CA"/>
        </w:rPr>
        <w:t xml:space="preserve">*Bigras, J. (2007). La prédiction de la récidive chez les délinquants sexuels [Prediction of recidivism among sexual offenders] (Doctoral dissertation). </w:t>
      </w:r>
      <w:r w:rsidRPr="000C53C2">
        <w:rPr>
          <w:bCs/>
          <w:iCs/>
        </w:rPr>
        <w:t>Retrieved from Dissertations Abstracts International 68</w:t>
      </w:r>
      <w:r w:rsidRPr="000C53C2">
        <w:rPr>
          <w:bCs/>
        </w:rPr>
        <w:t xml:space="preserve">(09) (UMI No. </w:t>
      </w:r>
      <w:r w:rsidRPr="003956D0">
        <w:rPr>
          <w:bCs/>
        </w:rPr>
        <w:t>NR30941).</w:t>
      </w:r>
    </w:p>
    <w:p w:rsidR="000C53C2" w:rsidRPr="003956D0" w:rsidRDefault="000C53C2" w:rsidP="000C53C2">
      <w:pPr>
        <w:spacing w:line="480" w:lineRule="auto"/>
        <w:ind w:left="432" w:hanging="432"/>
      </w:pPr>
      <w:r w:rsidRPr="003956D0">
        <w:rPr>
          <w:color w:val="000000"/>
        </w:rPr>
        <w:t>Blokland, A., &amp; van der Geest, V. (2015). Life-course transitions and desistance in sex offenders</w:t>
      </w:r>
      <w:r w:rsidR="009B5ED1">
        <w:rPr>
          <w:color w:val="000000"/>
        </w:rPr>
        <w:t>: An event history analysis</w:t>
      </w:r>
      <w:r w:rsidRPr="003956D0">
        <w:rPr>
          <w:color w:val="000000"/>
        </w:rPr>
        <w:t xml:space="preserve">. In A. Blokland &amp; P. Lussier (Eds.), </w:t>
      </w:r>
      <w:r w:rsidRPr="003956D0">
        <w:rPr>
          <w:i/>
          <w:color w:val="000000"/>
        </w:rPr>
        <w:t xml:space="preserve">Sex offenders: A criminal career approach </w:t>
      </w:r>
      <w:r w:rsidRPr="003956D0">
        <w:rPr>
          <w:color w:val="000000"/>
        </w:rPr>
        <w:t>(pp.</w:t>
      </w:r>
      <w:r w:rsidR="009B5ED1">
        <w:rPr>
          <w:color w:val="000000"/>
        </w:rPr>
        <w:t xml:space="preserve"> 257-288</w:t>
      </w:r>
      <w:r w:rsidRPr="003956D0">
        <w:rPr>
          <w:color w:val="000000"/>
        </w:rPr>
        <w:t xml:space="preserve">). Chichester, UK: Wiley. </w:t>
      </w:r>
    </w:p>
    <w:p w:rsidR="000C53C2" w:rsidRPr="003956D0" w:rsidRDefault="000C53C2" w:rsidP="000C53C2">
      <w:pPr>
        <w:spacing w:line="480" w:lineRule="auto"/>
        <w:ind w:left="432" w:hanging="432"/>
      </w:pPr>
      <w:r w:rsidRPr="003956D0">
        <w:rPr>
          <w:lang w:val="en-US"/>
        </w:rPr>
        <w:t>Blumstein, A., &amp; Nakamura, K. (2009). Redemption in the presence of widespread criminal background checks.</w:t>
      </w:r>
      <w:r w:rsidRPr="003956D0">
        <w:rPr>
          <w:i/>
          <w:iCs/>
          <w:lang w:val="en-US"/>
        </w:rPr>
        <w:t> Criminology, 47</w:t>
      </w:r>
      <w:r w:rsidRPr="003956D0">
        <w:rPr>
          <w:lang w:val="en-US"/>
        </w:rPr>
        <w:t>, 327-359. doi:10.1111/j.1745-9125.2009.00155.x</w:t>
      </w:r>
    </w:p>
    <w:p w:rsidR="000C53C2" w:rsidRPr="003956D0" w:rsidRDefault="000C53C2" w:rsidP="000C53C2">
      <w:pPr>
        <w:spacing w:line="480" w:lineRule="auto"/>
        <w:ind w:left="432" w:hanging="432"/>
        <w:rPr>
          <w:color w:val="222222"/>
          <w:lang w:val="en-US"/>
        </w:rPr>
      </w:pPr>
      <w:r w:rsidRPr="003956D0">
        <w:t xml:space="preserve"> </w:t>
      </w:r>
      <w:r w:rsidRPr="003956D0">
        <w:rPr>
          <w:color w:val="222222"/>
          <w:lang w:val="en-US"/>
        </w:rPr>
        <w:t>Blumstein, A., &amp; Wallman, J. (2006). </w:t>
      </w:r>
      <w:r w:rsidRPr="003956D0">
        <w:rPr>
          <w:i/>
          <w:iCs/>
          <w:color w:val="222222"/>
          <w:lang w:val="en-US"/>
        </w:rPr>
        <w:t xml:space="preserve">The crime drop in </w:t>
      </w:r>
      <w:r w:rsidR="005249A4">
        <w:rPr>
          <w:i/>
          <w:iCs/>
          <w:color w:val="222222"/>
          <w:lang w:val="en-US"/>
        </w:rPr>
        <w:t>A</w:t>
      </w:r>
      <w:r w:rsidRPr="003956D0">
        <w:rPr>
          <w:i/>
          <w:iCs/>
          <w:color w:val="222222"/>
          <w:lang w:val="en-US"/>
        </w:rPr>
        <w:t>merica</w:t>
      </w:r>
      <w:r w:rsidRPr="003956D0">
        <w:rPr>
          <w:color w:val="222222"/>
          <w:lang w:val="en-US"/>
        </w:rPr>
        <w:t> (</w:t>
      </w:r>
      <w:r w:rsidR="005249A4">
        <w:rPr>
          <w:color w:val="222222"/>
          <w:lang w:val="en-US"/>
        </w:rPr>
        <w:t>r</w:t>
      </w:r>
      <w:r w:rsidRPr="003956D0">
        <w:rPr>
          <w:color w:val="222222"/>
          <w:lang w:val="en-US"/>
        </w:rPr>
        <w:t>ev. ed.)</w:t>
      </w:r>
      <w:r w:rsidR="005249A4">
        <w:rPr>
          <w:color w:val="222222"/>
          <w:lang w:val="en-US"/>
        </w:rPr>
        <w:t>.</w:t>
      </w:r>
      <w:r w:rsidRPr="003956D0">
        <w:rPr>
          <w:color w:val="222222"/>
          <w:lang w:val="en-US"/>
        </w:rPr>
        <w:t> </w:t>
      </w:r>
      <w:r w:rsidRPr="003956D0">
        <w:rPr>
          <w:color w:val="222222"/>
        </w:rPr>
        <w:t>Cambridge, UK: Cambridge University Press.</w:t>
      </w:r>
    </w:p>
    <w:p w:rsidR="000C53C2" w:rsidRPr="003956D0" w:rsidRDefault="000C53C2" w:rsidP="000C53C2">
      <w:pPr>
        <w:spacing w:line="480" w:lineRule="auto"/>
        <w:ind w:left="432" w:hanging="432"/>
        <w:rPr>
          <w:bCs/>
        </w:rPr>
      </w:pPr>
      <w:r w:rsidRPr="003956D0">
        <w:rPr>
          <w:bCs/>
        </w:rPr>
        <w:t xml:space="preserve">*Boer, A. </w:t>
      </w:r>
      <w:r w:rsidR="005249A4">
        <w:rPr>
          <w:bCs/>
        </w:rPr>
        <w:t>(</w:t>
      </w:r>
      <w:r w:rsidRPr="003956D0">
        <w:rPr>
          <w:bCs/>
        </w:rPr>
        <w:t>2003</w:t>
      </w:r>
      <w:r w:rsidR="005249A4">
        <w:rPr>
          <w:bCs/>
        </w:rPr>
        <w:t>)</w:t>
      </w:r>
      <w:r w:rsidRPr="003956D0">
        <w:rPr>
          <w:bCs/>
        </w:rPr>
        <w:t xml:space="preserve">. </w:t>
      </w:r>
      <w:r w:rsidRPr="003956D0">
        <w:rPr>
          <w:bCs/>
          <w:i/>
        </w:rPr>
        <w:t xml:space="preserve">Evaluating the </w:t>
      </w:r>
      <w:r w:rsidR="005249A4">
        <w:rPr>
          <w:bCs/>
          <w:i/>
        </w:rPr>
        <w:t>S</w:t>
      </w:r>
      <w:r w:rsidRPr="003956D0">
        <w:rPr>
          <w:bCs/>
          <w:i/>
        </w:rPr>
        <w:t xml:space="preserve">tatic-99 and </w:t>
      </w:r>
      <w:r w:rsidR="005249A4">
        <w:rPr>
          <w:bCs/>
          <w:i/>
        </w:rPr>
        <w:t>S</w:t>
      </w:r>
      <w:r w:rsidRPr="003956D0">
        <w:rPr>
          <w:bCs/>
          <w:i/>
        </w:rPr>
        <w:t>tatic-2002 risk scales using Canadian sexual offenders</w:t>
      </w:r>
      <w:r w:rsidR="005249A4">
        <w:rPr>
          <w:bCs/>
          <w:i/>
        </w:rPr>
        <w:t>.</w:t>
      </w:r>
      <w:r w:rsidRPr="003956D0">
        <w:rPr>
          <w:bCs/>
          <w:i/>
        </w:rPr>
        <w:t xml:space="preserve"> </w:t>
      </w:r>
      <w:r w:rsidRPr="003956D0">
        <w:rPr>
          <w:bCs/>
        </w:rPr>
        <w:t>(Master’s Thesis). Leicester, United Kingdom: University of Leicester.</w:t>
      </w:r>
    </w:p>
    <w:p w:rsidR="000C53C2" w:rsidRPr="003956D0" w:rsidRDefault="000C53C2" w:rsidP="000C53C2">
      <w:pPr>
        <w:spacing w:line="480" w:lineRule="auto"/>
        <w:ind w:left="432" w:hanging="432"/>
      </w:pPr>
      <w:r w:rsidRPr="003956D0">
        <w:rPr>
          <w:bCs/>
        </w:rPr>
        <w:t xml:space="preserve">*Bonta, J., &amp; Yessine, A. K. (2005). Recidivism data for 124 released sexual offenders from the offenders identified in </w:t>
      </w:r>
      <w:r w:rsidRPr="003956D0">
        <w:rPr>
          <w:bCs/>
          <w:i/>
        </w:rPr>
        <w:t xml:space="preserve">The National Flagging System: Identifying and responding to high-risk, violent offenders </w:t>
      </w:r>
      <w:r w:rsidRPr="003956D0">
        <w:rPr>
          <w:bCs/>
          <w:iCs/>
        </w:rPr>
        <w:t>(</w:t>
      </w:r>
      <w:r w:rsidRPr="003956D0">
        <w:rPr>
          <w:bCs/>
        </w:rPr>
        <w:t xml:space="preserve">User Report 2005-04). Ottawa, Canada: Public Safety and Emergency Preparedness Canada. </w:t>
      </w:r>
    </w:p>
    <w:p w:rsidR="000C53C2" w:rsidRPr="003956D0" w:rsidRDefault="000C53C2" w:rsidP="000C53C2">
      <w:pPr>
        <w:spacing w:line="480" w:lineRule="auto"/>
        <w:ind w:left="432" w:hanging="432"/>
      </w:pPr>
      <w:r w:rsidRPr="00435929">
        <w:t xml:space="preserve">*Brouillette-Alarie, S., &amp; Proulx, J. (2008, October). </w:t>
      </w:r>
      <w:r w:rsidRPr="003956D0">
        <w:rPr>
          <w:i/>
        </w:rPr>
        <w:t>Predictive and convergent validity of phallometric assessment in relation to sexual recidivism risk.</w:t>
      </w:r>
      <w:r w:rsidRPr="003956D0">
        <w:t xml:space="preserve"> Poster presented at the annual conference of the Association for the Treatment of Sexual Abusers. Atlanta, GA.</w:t>
      </w:r>
    </w:p>
    <w:p w:rsidR="000C53C2" w:rsidRPr="003956D0" w:rsidRDefault="000C53C2" w:rsidP="000C53C2">
      <w:pPr>
        <w:spacing w:line="480" w:lineRule="auto"/>
        <w:ind w:left="432" w:hanging="432"/>
        <w:rPr>
          <w:color w:val="222222"/>
        </w:rPr>
      </w:pPr>
      <w:r w:rsidRPr="003956D0">
        <w:rPr>
          <w:color w:val="222222"/>
        </w:rPr>
        <w:t xml:space="preserve">Bumby, K. M., &amp; Maddox, M. C. (1999). Judges' knowledge about sexual offenders, difficulties presiding over sexual offense cases, and opinions on sentencing, treatment, and legislation. </w:t>
      </w:r>
      <w:r w:rsidRPr="003956D0">
        <w:rPr>
          <w:i/>
          <w:color w:val="222222"/>
        </w:rPr>
        <w:t>Sexual Abuse: A Journal of Research and Treatment, 11</w:t>
      </w:r>
      <w:r w:rsidRPr="003956D0">
        <w:rPr>
          <w:color w:val="222222"/>
        </w:rPr>
        <w:t xml:space="preserve">, 305-315. doi:10.1177/107906329901100406 </w:t>
      </w:r>
    </w:p>
    <w:p w:rsidR="000C53C2" w:rsidRPr="003956D0" w:rsidRDefault="000C53C2" w:rsidP="000C53C2">
      <w:pPr>
        <w:spacing w:line="480" w:lineRule="auto"/>
        <w:ind w:left="432" w:hanging="432"/>
        <w:rPr>
          <w:color w:val="222222"/>
        </w:rPr>
      </w:pPr>
      <w:r w:rsidRPr="003956D0">
        <w:rPr>
          <w:color w:val="222222"/>
          <w:lang w:val="en-US"/>
        </w:rPr>
        <w:t>Burnham, K. P., &amp; Anderson, D. R. (2004). Multimodel inference: Understanding AIC and BIC in model selection.</w:t>
      </w:r>
      <w:r w:rsidRPr="003956D0">
        <w:rPr>
          <w:i/>
          <w:iCs/>
          <w:color w:val="222222"/>
          <w:lang w:val="en-US"/>
        </w:rPr>
        <w:t> Sociological Methods &amp; Research, 33</w:t>
      </w:r>
      <w:r w:rsidRPr="003956D0">
        <w:rPr>
          <w:color w:val="222222"/>
          <w:lang w:val="en-US"/>
        </w:rPr>
        <w:t>, 261-304. doi:10.1177/0049124104268644</w:t>
      </w:r>
    </w:p>
    <w:p w:rsidR="000C53C2" w:rsidRPr="003956D0" w:rsidRDefault="000C53C2" w:rsidP="000C53C2">
      <w:pPr>
        <w:spacing w:line="480" w:lineRule="auto"/>
        <w:ind w:left="432" w:hanging="432"/>
        <w:rPr>
          <w:color w:val="222222"/>
        </w:rPr>
      </w:pPr>
      <w:r w:rsidRPr="003956D0">
        <w:rPr>
          <w:lang w:val="en-US"/>
        </w:rPr>
        <w:t>Bushway, S. D., Nieuwbeerta, P., &amp; Blokland, A. (2011). The predictive value of criminal background checks: Do age and criminal history affect time to redemption?</w:t>
      </w:r>
      <w:r w:rsidRPr="003956D0">
        <w:rPr>
          <w:i/>
          <w:iCs/>
          <w:lang w:val="en-US"/>
        </w:rPr>
        <w:t> Criminology, 49</w:t>
      </w:r>
      <w:r w:rsidRPr="003956D0">
        <w:rPr>
          <w:lang w:val="en-US"/>
        </w:rPr>
        <w:t>, 27-60. doi:10.1111/j.1745-9125.2010.00217.x</w:t>
      </w:r>
    </w:p>
    <w:p w:rsidR="000C53C2" w:rsidRPr="003956D0" w:rsidRDefault="000C53C2" w:rsidP="000C53C2">
      <w:pPr>
        <w:spacing w:line="480" w:lineRule="auto"/>
        <w:ind w:left="432" w:hanging="432"/>
        <w:rPr>
          <w:color w:val="222222"/>
        </w:rPr>
      </w:pPr>
      <w:r w:rsidRPr="003956D0">
        <w:rPr>
          <w:lang w:val="en-US"/>
        </w:rPr>
        <w:t>Bushway, S. D., Piquero, A. R., Broidy, L. M., Cauffman, E., &amp; Mazerolle, P. (2001). An empirical framework for studying desistance as a process.</w:t>
      </w:r>
      <w:r w:rsidRPr="003956D0">
        <w:rPr>
          <w:i/>
          <w:iCs/>
          <w:lang w:val="en-US"/>
        </w:rPr>
        <w:t> Criminology, 39</w:t>
      </w:r>
      <w:r w:rsidRPr="003956D0">
        <w:rPr>
          <w:lang w:val="en-US"/>
        </w:rPr>
        <w:t>, 491-516. doi:10.1111/j.1745-9125.2001.tb00931.x</w:t>
      </w:r>
    </w:p>
    <w:p w:rsidR="000C53C2" w:rsidRPr="003956D0" w:rsidRDefault="000C53C2" w:rsidP="000C53C2">
      <w:pPr>
        <w:spacing w:line="480" w:lineRule="auto"/>
        <w:ind w:left="432" w:hanging="432"/>
      </w:pPr>
      <w:r w:rsidRPr="003956D0">
        <w:t xml:space="preserve">Caldwell, M. F. (2016). Quantifying the decline in juvenile sexual recidivism rates. </w:t>
      </w:r>
      <w:r w:rsidRPr="003956D0">
        <w:rPr>
          <w:i/>
        </w:rPr>
        <w:t>Psychology,</w:t>
      </w:r>
      <w:r w:rsidRPr="003956D0">
        <w:t xml:space="preserve"> </w:t>
      </w:r>
      <w:r w:rsidRPr="003956D0">
        <w:rPr>
          <w:i/>
        </w:rPr>
        <w:t>Public Policy, and Law, 22</w:t>
      </w:r>
      <w:r w:rsidRPr="003956D0">
        <w:t xml:space="preserve">, 414-426. doi:10.1037/law0000094 </w:t>
      </w:r>
    </w:p>
    <w:p w:rsidR="000C53C2" w:rsidRPr="003956D0" w:rsidRDefault="000C53C2" w:rsidP="000C53C2">
      <w:pPr>
        <w:spacing w:line="480" w:lineRule="auto"/>
        <w:ind w:left="432" w:hanging="432"/>
        <w:rPr>
          <w:color w:val="222222"/>
        </w:rPr>
      </w:pPr>
      <w:r w:rsidRPr="003956D0">
        <w:rPr>
          <w:color w:val="222222"/>
        </w:rPr>
        <w:t xml:space="preserve">Campbell, R., &amp; Wasco, S. M. (2005). Understanding rape and sexual assault: 20 years of progress and future directions. </w:t>
      </w:r>
      <w:r w:rsidRPr="003956D0">
        <w:rPr>
          <w:i/>
          <w:color w:val="222222"/>
        </w:rPr>
        <w:t>Journal of Interpersonal Violence, 20</w:t>
      </w:r>
      <w:r w:rsidRPr="003956D0">
        <w:rPr>
          <w:color w:val="222222"/>
        </w:rPr>
        <w:t xml:space="preserve">, 127-131. doi:10.1177/0886260504268604 </w:t>
      </w:r>
    </w:p>
    <w:p w:rsidR="000C53C2" w:rsidRPr="003956D0" w:rsidRDefault="000C53C2" w:rsidP="000C53C2">
      <w:pPr>
        <w:pStyle w:val="Reference"/>
        <w:numPr>
          <w:ilvl w:val="0"/>
          <w:numId w:val="0"/>
        </w:numPr>
        <w:spacing w:before="0" w:line="480" w:lineRule="auto"/>
        <w:ind w:left="432" w:hanging="432"/>
        <w:rPr>
          <w:color w:val="222222"/>
          <w:szCs w:val="24"/>
          <w:lang w:val="en-CA" w:eastAsia="en-CA"/>
        </w:rPr>
      </w:pPr>
      <w:r w:rsidRPr="003956D0">
        <w:rPr>
          <w:color w:val="222222"/>
          <w:szCs w:val="24"/>
          <w:lang w:val="en-CA" w:eastAsia="en-CA"/>
        </w:rPr>
        <w:t xml:space="preserve">Cann, J., Falshaw, L., &amp; Friendship, C. (2004). Sexual offenders discharged from prison in </w:t>
      </w:r>
      <w:r w:rsidR="00755860">
        <w:rPr>
          <w:color w:val="222222"/>
          <w:szCs w:val="24"/>
          <w:lang w:val="en-CA" w:eastAsia="en-CA"/>
        </w:rPr>
        <w:t>E</w:t>
      </w:r>
      <w:r w:rsidRPr="003956D0">
        <w:rPr>
          <w:color w:val="222222"/>
          <w:szCs w:val="24"/>
          <w:lang w:val="en-CA" w:eastAsia="en-CA"/>
        </w:rPr>
        <w:t xml:space="preserve">ngland and </w:t>
      </w:r>
      <w:r w:rsidR="00755860">
        <w:rPr>
          <w:color w:val="222222"/>
          <w:szCs w:val="24"/>
          <w:lang w:val="en-CA" w:eastAsia="en-CA"/>
        </w:rPr>
        <w:t>W</w:t>
      </w:r>
      <w:r w:rsidRPr="003956D0">
        <w:rPr>
          <w:color w:val="222222"/>
          <w:szCs w:val="24"/>
          <w:lang w:val="en-CA" w:eastAsia="en-CA"/>
        </w:rPr>
        <w:t xml:space="preserve">ales: A 21-year reconviction study. </w:t>
      </w:r>
      <w:r w:rsidRPr="003956D0">
        <w:rPr>
          <w:i/>
          <w:color w:val="222222"/>
          <w:szCs w:val="24"/>
          <w:lang w:val="en-CA" w:eastAsia="en-CA"/>
        </w:rPr>
        <w:t>Legal and Criminological Psychology, 9</w:t>
      </w:r>
      <w:r w:rsidRPr="003956D0">
        <w:rPr>
          <w:color w:val="222222"/>
          <w:szCs w:val="24"/>
          <w:lang w:val="en-CA" w:eastAsia="en-CA"/>
        </w:rPr>
        <w:t xml:space="preserve">, 1-10. doi:10.1348/135532504322776816 </w:t>
      </w:r>
    </w:p>
    <w:p w:rsidR="000C53C2" w:rsidRPr="003956D0" w:rsidRDefault="000C53C2" w:rsidP="000C53C2">
      <w:pPr>
        <w:pStyle w:val="Reference"/>
        <w:numPr>
          <w:ilvl w:val="0"/>
          <w:numId w:val="0"/>
        </w:numPr>
        <w:spacing w:before="0" w:line="480" w:lineRule="auto"/>
        <w:ind w:left="432" w:hanging="432"/>
        <w:rPr>
          <w:rStyle w:val="slug-pages"/>
          <w:iCs/>
          <w:szCs w:val="24"/>
        </w:rPr>
      </w:pPr>
      <w:r w:rsidRPr="003956D0">
        <w:rPr>
          <w:szCs w:val="24"/>
          <w:lang w:val="en-CA"/>
        </w:rPr>
        <w:t xml:space="preserve">Chen, L. P., Murad, M. H., Paras, M. L., Colbenson, K. M., Sattler, A. L., Goranson, E. N., . . . Zirakzadeh, A. (2010). Sexual abuse and lifetime diagnosis of psychiatric disorders: Systematic review and meta-analysis. </w:t>
      </w:r>
      <w:r w:rsidRPr="003956D0">
        <w:rPr>
          <w:i/>
          <w:szCs w:val="24"/>
          <w:lang w:val="en-CA"/>
        </w:rPr>
        <w:t>Mayo Clinic Proceedings, 85</w:t>
      </w:r>
      <w:r w:rsidRPr="003956D0">
        <w:rPr>
          <w:szCs w:val="24"/>
          <w:lang w:val="en-CA"/>
        </w:rPr>
        <w:t>, 618</w:t>
      </w:r>
      <w:r w:rsidR="005249A4">
        <w:rPr>
          <w:szCs w:val="24"/>
          <w:lang w:val="en-CA"/>
        </w:rPr>
        <w:t>-629</w:t>
      </w:r>
      <w:r w:rsidRPr="003956D0">
        <w:rPr>
          <w:szCs w:val="24"/>
          <w:lang w:val="en-CA"/>
        </w:rPr>
        <w:t>.</w:t>
      </w:r>
    </w:p>
    <w:p w:rsidR="000C53C2" w:rsidRPr="003956D0" w:rsidRDefault="000C53C2" w:rsidP="000C53C2">
      <w:pPr>
        <w:pStyle w:val="BodyText"/>
        <w:spacing w:after="0" w:line="480" w:lineRule="auto"/>
        <w:ind w:left="432" w:hanging="432"/>
      </w:pPr>
      <w:r w:rsidRPr="003956D0">
        <w:t xml:space="preserve">*Cortoni, F., &amp; Nunes, K. L. (2008). </w:t>
      </w:r>
      <w:r w:rsidRPr="003956D0">
        <w:rPr>
          <w:i/>
          <w:iCs/>
        </w:rPr>
        <w:t xml:space="preserve">Assessing the effectiveness of the National Sexual Offender Program </w:t>
      </w:r>
      <w:r w:rsidRPr="003956D0">
        <w:t>(Research Report No. R-183). Ottawa, ON: Correctional Service of Canada.</w:t>
      </w:r>
    </w:p>
    <w:p w:rsidR="000C53C2" w:rsidRPr="006E4F02" w:rsidRDefault="000C53C2" w:rsidP="000C53C2">
      <w:pPr>
        <w:spacing w:line="480" w:lineRule="auto"/>
        <w:ind w:left="432" w:hanging="432"/>
        <w:rPr>
          <w:color w:val="222222"/>
        </w:rPr>
      </w:pPr>
      <w:r w:rsidRPr="003956D0">
        <w:rPr>
          <w:color w:val="222222"/>
        </w:rPr>
        <w:t>Cotter, A., &amp; Beaupré, P. (</w:t>
      </w:r>
      <w:r w:rsidRPr="006E4F02">
        <w:rPr>
          <w:color w:val="222222"/>
        </w:rPr>
        <w:t xml:space="preserve">2014). </w:t>
      </w:r>
      <w:r w:rsidRPr="006E4F02">
        <w:rPr>
          <w:color w:val="333333"/>
        </w:rPr>
        <w:t xml:space="preserve">Police-reported sexual offences against children and youth in Canada, 2012. </w:t>
      </w:r>
      <w:r w:rsidRPr="006E4F02">
        <w:rPr>
          <w:i/>
          <w:color w:val="333333"/>
        </w:rPr>
        <w:t>Juristat</w:t>
      </w:r>
      <w:r w:rsidRPr="006E4F02">
        <w:rPr>
          <w:color w:val="333333"/>
        </w:rPr>
        <w:t xml:space="preserve"> 34(1). Ottawa, Canada: Statistics Canada. Retrieved from </w:t>
      </w:r>
      <w:hyperlink r:id="rId9" w:history="1">
        <w:r w:rsidR="00304CD9" w:rsidRPr="006E4F02">
          <w:rPr>
            <w:rStyle w:val="Hyperlink"/>
          </w:rPr>
          <w:t>http://www.statcan.gc.ca/pub/85-002-x/2014001/article/14008-eng.htma8</w:t>
        </w:r>
      </w:hyperlink>
      <w:r w:rsidRPr="006E4F02">
        <w:rPr>
          <w:color w:val="222222"/>
        </w:rPr>
        <w:t xml:space="preserve">. </w:t>
      </w:r>
    </w:p>
    <w:p w:rsidR="000C53C2" w:rsidRPr="006E4F02" w:rsidRDefault="000C53C2" w:rsidP="006E4F02">
      <w:pPr>
        <w:autoSpaceDE w:val="0"/>
        <w:autoSpaceDN w:val="0"/>
        <w:adjustRightInd w:val="0"/>
        <w:spacing w:line="480" w:lineRule="auto"/>
        <w:ind w:left="432" w:hanging="432"/>
        <w:rPr>
          <w:bCs/>
        </w:rPr>
      </w:pPr>
      <w:r w:rsidRPr="006E4F02">
        <w:rPr>
          <w:bCs/>
          <w:lang w:val="fr-CA"/>
        </w:rPr>
        <w:t xml:space="preserve">*Craissati, J., Bierer, K., &amp; South, R. (2011). </w:t>
      </w:r>
      <w:r w:rsidRPr="006E4F02">
        <w:rPr>
          <w:bCs/>
        </w:rPr>
        <w:t xml:space="preserve">Risk, reconviction and "sexually risky behaviour" in sex offenders. </w:t>
      </w:r>
      <w:r w:rsidRPr="006E4F02">
        <w:rPr>
          <w:bCs/>
          <w:i/>
        </w:rPr>
        <w:t>Journal of Sexual Aggression, 17</w:t>
      </w:r>
      <w:r w:rsidRPr="006E4F02">
        <w:rPr>
          <w:bCs/>
        </w:rPr>
        <w:t>, 153-165. doi:10.1080/13552600.2010.490306</w:t>
      </w:r>
    </w:p>
    <w:p w:rsidR="006E4F02" w:rsidRPr="006E4F02" w:rsidRDefault="006E4F02" w:rsidP="006E4F02">
      <w:pPr>
        <w:spacing w:line="480" w:lineRule="auto"/>
        <w:ind w:left="432" w:hanging="432"/>
        <w:rPr>
          <w:color w:val="222222"/>
        </w:rPr>
      </w:pPr>
      <w:r w:rsidRPr="006E4F02">
        <w:rPr>
          <w:color w:val="222222"/>
        </w:rPr>
        <w:t xml:space="preserve">Cronbach, L. J., &amp; Meehl, P. E. (1955). Construct validity in psychological tests. </w:t>
      </w:r>
      <w:r w:rsidRPr="006E4F02">
        <w:rPr>
          <w:i/>
          <w:iCs/>
          <w:color w:val="222222"/>
        </w:rPr>
        <w:t xml:space="preserve">Psychological </w:t>
      </w:r>
      <w:r>
        <w:rPr>
          <w:i/>
          <w:iCs/>
          <w:color w:val="222222"/>
        </w:rPr>
        <w:t>b</w:t>
      </w:r>
      <w:r w:rsidRPr="006E4F02">
        <w:rPr>
          <w:i/>
          <w:iCs/>
          <w:color w:val="222222"/>
        </w:rPr>
        <w:t>ulletin</w:t>
      </w:r>
      <w:r w:rsidRPr="006E4F02">
        <w:rPr>
          <w:color w:val="222222"/>
        </w:rPr>
        <w:t xml:space="preserve">, </w:t>
      </w:r>
      <w:r w:rsidRPr="006E4F02">
        <w:rPr>
          <w:i/>
          <w:iCs/>
          <w:color w:val="222222"/>
        </w:rPr>
        <w:t>52</w:t>
      </w:r>
      <w:r w:rsidRPr="006E4F02">
        <w:rPr>
          <w:color w:val="222222"/>
        </w:rPr>
        <w:t>, 281</w:t>
      </w:r>
      <w:r w:rsidRPr="006E4F02">
        <w:t>-302. Doi:10.1037/h0040957</w:t>
      </w:r>
    </w:p>
    <w:p w:rsidR="009B5ED1" w:rsidRDefault="000C53C2" w:rsidP="006E4F02">
      <w:pPr>
        <w:spacing w:line="480" w:lineRule="auto"/>
        <w:ind w:left="432" w:hanging="432"/>
        <w:rPr>
          <w:bCs/>
        </w:rPr>
      </w:pPr>
      <w:r w:rsidRPr="006E4F02">
        <w:rPr>
          <w:bCs/>
          <w:lang w:val="de-DE"/>
        </w:rPr>
        <w:t>*Eher, R., Rettenberger, M., Schilling</w:t>
      </w:r>
      <w:r w:rsidRPr="003956D0">
        <w:rPr>
          <w:bCs/>
          <w:lang w:val="de-DE"/>
        </w:rPr>
        <w:t xml:space="preserve">, F., &amp; Pfafflin, F. (2009). </w:t>
      </w:r>
      <w:r w:rsidR="009B5ED1">
        <w:rPr>
          <w:bCs/>
          <w:lang w:val="de-DE"/>
        </w:rPr>
        <w:t xml:space="preserve">[Risk assessment and recidivism for 706 </w:t>
      </w:r>
      <w:r w:rsidRPr="003956D0">
        <w:rPr>
          <w:bCs/>
        </w:rPr>
        <w:t>sexual offenders released from prison in Austria</w:t>
      </w:r>
      <w:r w:rsidR="009B5ED1">
        <w:rPr>
          <w:bCs/>
        </w:rPr>
        <w:t xml:space="preserve">]. Unpublished raw data. </w:t>
      </w:r>
    </w:p>
    <w:p w:rsidR="000C53C2" w:rsidRPr="003956D0" w:rsidRDefault="000C53C2" w:rsidP="000C53C2">
      <w:pPr>
        <w:spacing w:line="480" w:lineRule="auto"/>
        <w:ind w:left="432" w:hanging="432"/>
        <w:rPr>
          <w:i/>
          <w:iCs/>
        </w:rPr>
      </w:pPr>
      <w:r w:rsidRPr="003956D0">
        <w:t xml:space="preserve">*Epperson, D. L. (2003). </w:t>
      </w:r>
      <w:r w:rsidRPr="003956D0">
        <w:rPr>
          <w:i/>
          <w:iCs/>
        </w:rPr>
        <w:t>Validation of the MnSOST-R, Static-99, and RRASOR with North Dakota prison and probation samples</w:t>
      </w:r>
      <w:r w:rsidRPr="003956D0">
        <w:t xml:space="preserve"> [Unpublished Technical Assistance Report]. North Dakota: North Dakota Division of Parole and Probation. </w:t>
      </w:r>
    </w:p>
    <w:p w:rsidR="000C53C2" w:rsidRPr="003956D0" w:rsidRDefault="000C53C2" w:rsidP="000C53C2">
      <w:pPr>
        <w:spacing w:line="480" w:lineRule="auto"/>
        <w:ind w:left="432" w:hanging="432"/>
        <w:rPr>
          <w:i/>
          <w:iCs/>
        </w:rPr>
      </w:pPr>
      <w:r w:rsidRPr="003956D0">
        <w:rPr>
          <w:lang w:val="en-US"/>
        </w:rPr>
        <w:t>Göbbels, S., Ward, T., &amp; Willis, G. M. (2012). An integrative theory of desistance from sex offending.</w:t>
      </w:r>
      <w:r w:rsidRPr="003956D0">
        <w:rPr>
          <w:i/>
          <w:iCs/>
          <w:lang w:val="en-US"/>
        </w:rPr>
        <w:t> Aggression and Violent Behavior, 17</w:t>
      </w:r>
      <w:r w:rsidRPr="003956D0">
        <w:rPr>
          <w:lang w:val="en-US"/>
        </w:rPr>
        <w:t>, 453-462. doi:10.1016/j.avb.2012.06.003</w:t>
      </w:r>
    </w:p>
    <w:p w:rsidR="000C53C2" w:rsidRPr="003956D0" w:rsidRDefault="000C53C2" w:rsidP="000C53C2">
      <w:pPr>
        <w:autoSpaceDE w:val="0"/>
        <w:autoSpaceDN w:val="0"/>
        <w:adjustRightInd w:val="0"/>
        <w:spacing w:line="480" w:lineRule="auto"/>
        <w:ind w:left="432" w:hanging="432"/>
        <w:rPr>
          <w:bCs/>
        </w:rPr>
      </w:pPr>
      <w:r w:rsidRPr="003956D0">
        <w:rPr>
          <w:bCs/>
          <w:iCs/>
        </w:rPr>
        <w:t xml:space="preserve"> *Haag, A. M. (2005). Do psychological interventions impact on actuarial measures: An analysis of the predictive validity of the Static-99 and Static-2002 on a re-conviction measure of sexual recidivism [Doctoral dissertation]</w:t>
      </w:r>
      <w:r w:rsidRPr="003956D0">
        <w:rPr>
          <w:bCs/>
          <w:i/>
        </w:rPr>
        <w:t xml:space="preserve">. </w:t>
      </w:r>
      <w:r w:rsidRPr="003956D0">
        <w:rPr>
          <w:bCs/>
          <w:i/>
          <w:iCs/>
        </w:rPr>
        <w:t xml:space="preserve">Dissertations Abstracts International </w:t>
      </w:r>
      <w:r w:rsidRPr="003956D0">
        <w:rPr>
          <w:bCs/>
          <w:iCs/>
        </w:rPr>
        <w:t>66</w:t>
      </w:r>
      <w:r w:rsidRPr="003956D0">
        <w:rPr>
          <w:bCs/>
        </w:rPr>
        <w:t>(08), 4531B. (UMI No. NR05662).</w:t>
      </w:r>
    </w:p>
    <w:p w:rsidR="000C53C2" w:rsidRPr="003956D0" w:rsidRDefault="000C53C2" w:rsidP="000C53C2">
      <w:pPr>
        <w:autoSpaceDE w:val="0"/>
        <w:autoSpaceDN w:val="0"/>
        <w:adjustRightInd w:val="0"/>
        <w:spacing w:line="480" w:lineRule="auto"/>
        <w:ind w:left="432" w:hanging="432"/>
        <w:rPr>
          <w:bCs/>
        </w:rPr>
      </w:pPr>
      <w:r w:rsidRPr="003956D0">
        <w:rPr>
          <w:lang w:val="en-US"/>
        </w:rPr>
        <w:t>Hanson, R. K. (2002). Recidivism and age: Follow-up data from 4,673 sexual offenders.</w:t>
      </w:r>
      <w:r>
        <w:rPr>
          <w:lang w:val="en-US"/>
        </w:rPr>
        <w:t xml:space="preserve"> </w:t>
      </w:r>
      <w:r w:rsidRPr="003956D0">
        <w:rPr>
          <w:i/>
          <w:iCs/>
          <w:lang w:val="en-US"/>
        </w:rPr>
        <w:t>Journal of Interpersonal Violence, 17</w:t>
      </w:r>
      <w:r w:rsidRPr="003956D0">
        <w:rPr>
          <w:lang w:val="en-US"/>
        </w:rPr>
        <w:t>, 1046-1062. doi:10.1177/088626002236659</w:t>
      </w:r>
    </w:p>
    <w:p w:rsidR="000C53C2" w:rsidRPr="003956D0" w:rsidRDefault="000C53C2" w:rsidP="000C53C2">
      <w:pPr>
        <w:autoSpaceDE w:val="0"/>
        <w:autoSpaceDN w:val="0"/>
        <w:adjustRightInd w:val="0"/>
        <w:spacing w:line="480" w:lineRule="auto"/>
        <w:ind w:left="432" w:hanging="432"/>
        <w:rPr>
          <w:bCs/>
        </w:rPr>
      </w:pPr>
      <w:r w:rsidRPr="003956D0">
        <w:rPr>
          <w:color w:val="000000"/>
          <w:lang w:val="en-US"/>
        </w:rPr>
        <w:t xml:space="preserve">Hanson, R. K., Babchishin, K. M., Helmus, L. M., Thornton, D., &amp; Phenix, A. (2016). Communicating the results of criterion referenced prediction measures: Risk categories for the </w:t>
      </w:r>
      <w:r w:rsidR="005249A4">
        <w:rPr>
          <w:color w:val="000000"/>
          <w:lang w:val="en-US"/>
        </w:rPr>
        <w:t>S</w:t>
      </w:r>
      <w:r w:rsidRPr="003956D0">
        <w:rPr>
          <w:color w:val="000000"/>
          <w:lang w:val="en-US"/>
        </w:rPr>
        <w:t xml:space="preserve">tatic-99R and </w:t>
      </w:r>
      <w:r w:rsidR="005249A4">
        <w:rPr>
          <w:color w:val="000000"/>
          <w:lang w:val="en-US"/>
        </w:rPr>
        <w:t>S</w:t>
      </w:r>
      <w:r w:rsidRPr="003956D0">
        <w:rPr>
          <w:color w:val="000000"/>
          <w:lang w:val="en-US"/>
        </w:rPr>
        <w:t>tatic-2002R sexual offender risk assessment tools.</w:t>
      </w:r>
      <w:r w:rsidR="005249A4">
        <w:rPr>
          <w:color w:val="000000"/>
          <w:lang w:val="en-US"/>
        </w:rPr>
        <w:t xml:space="preserve"> </w:t>
      </w:r>
      <w:r>
        <w:rPr>
          <w:i/>
          <w:iCs/>
          <w:color w:val="000000"/>
          <w:lang w:val="en-US"/>
        </w:rPr>
        <w:t xml:space="preserve">Psychological Assessment. </w:t>
      </w:r>
      <w:r>
        <w:rPr>
          <w:iCs/>
          <w:color w:val="000000"/>
          <w:lang w:val="en-US"/>
        </w:rPr>
        <w:t xml:space="preserve">Advanced Online </w:t>
      </w:r>
      <w:r w:rsidR="005249A4">
        <w:rPr>
          <w:iCs/>
          <w:color w:val="000000"/>
          <w:lang w:val="en-US"/>
        </w:rPr>
        <w:t>P</w:t>
      </w:r>
      <w:r>
        <w:rPr>
          <w:iCs/>
          <w:color w:val="000000"/>
          <w:lang w:val="en-US"/>
        </w:rPr>
        <w:t>ublication.</w:t>
      </w:r>
      <w:r w:rsidR="005249A4">
        <w:rPr>
          <w:iCs/>
          <w:color w:val="000000"/>
          <w:lang w:val="en-US"/>
        </w:rPr>
        <w:t xml:space="preserve"> </w:t>
      </w:r>
      <w:r w:rsidRPr="003956D0">
        <w:rPr>
          <w:color w:val="000000"/>
          <w:lang w:val="en-US"/>
        </w:rPr>
        <w:t>doi:10.1037/pas0000371</w:t>
      </w:r>
    </w:p>
    <w:p w:rsidR="000C53C2" w:rsidRPr="003956D0" w:rsidRDefault="000C53C2" w:rsidP="000C53C2">
      <w:pPr>
        <w:autoSpaceDE w:val="0"/>
        <w:autoSpaceDN w:val="0"/>
        <w:adjustRightInd w:val="0"/>
        <w:spacing w:line="480" w:lineRule="auto"/>
        <w:ind w:left="432" w:hanging="432"/>
        <w:rPr>
          <w:bCs/>
        </w:rPr>
      </w:pPr>
      <w:r w:rsidRPr="003956D0">
        <w:rPr>
          <w:lang w:val="en-US"/>
        </w:rPr>
        <w:t>Hanson, R. K., Bourgon, G., Helmus, L., &amp; Hodgson, S. (2009). The principles of effective correctional treatment also apply to sexual offenders: A meta-analysis.</w:t>
      </w:r>
      <w:r w:rsidRPr="003956D0">
        <w:rPr>
          <w:i/>
          <w:iCs/>
          <w:lang w:val="en-US"/>
        </w:rPr>
        <w:t> Criminal Justice and Behavior, 36</w:t>
      </w:r>
      <w:r w:rsidRPr="003956D0">
        <w:rPr>
          <w:lang w:val="en-US"/>
        </w:rPr>
        <w:t>, 865-891. doi:10.1177/0093854809338545</w:t>
      </w:r>
    </w:p>
    <w:p w:rsidR="000C53C2" w:rsidRPr="003956D0" w:rsidRDefault="000C53C2" w:rsidP="000C53C2">
      <w:pPr>
        <w:autoSpaceDE w:val="0"/>
        <w:autoSpaceDN w:val="0"/>
        <w:adjustRightInd w:val="0"/>
        <w:spacing w:line="480" w:lineRule="auto"/>
        <w:ind w:left="432" w:hanging="432"/>
      </w:pPr>
      <w:r w:rsidRPr="003956D0">
        <w:t xml:space="preserve"> Hanson, R. K., Bourgon, G., McGrath, R. K., Kroner, D., D’Amora, D. A., Thomas, S. S., &amp; Tavarez, L. P. (2017). </w:t>
      </w:r>
      <w:r w:rsidRPr="003956D0">
        <w:rPr>
          <w:i/>
        </w:rPr>
        <w:t xml:space="preserve">A five-level risk and needs system: Maximizing assessment results in corrections through the development of a common language. </w:t>
      </w:r>
      <w:r w:rsidRPr="003956D0">
        <w:t xml:space="preserve">New York: The Council of State Governments Justice Center. </w:t>
      </w:r>
    </w:p>
    <w:p w:rsidR="000C53C2" w:rsidRPr="003956D0" w:rsidRDefault="000C53C2" w:rsidP="000C53C2">
      <w:pPr>
        <w:autoSpaceDE w:val="0"/>
        <w:autoSpaceDN w:val="0"/>
        <w:adjustRightInd w:val="0"/>
        <w:spacing w:line="480" w:lineRule="auto"/>
        <w:ind w:left="432" w:hanging="432"/>
      </w:pPr>
      <w:r w:rsidRPr="00E03462">
        <w:rPr>
          <w:lang w:val="fr-CA"/>
        </w:rPr>
        <w:t xml:space="preserve">Hanson, R. K., &amp; Bussière, M. T. (1998). </w:t>
      </w:r>
      <w:r w:rsidRPr="003956D0">
        <w:rPr>
          <w:lang w:val="en-US"/>
        </w:rPr>
        <w:t>Predicting relapse: A meta-analysis of sexual offender recidivism studies.</w:t>
      </w:r>
      <w:r w:rsidRPr="003956D0">
        <w:rPr>
          <w:i/>
          <w:iCs/>
          <w:lang w:val="en-US"/>
        </w:rPr>
        <w:t> Journal of Consulting and Clinical Psychology, 66</w:t>
      </w:r>
      <w:r w:rsidRPr="003956D0">
        <w:rPr>
          <w:lang w:val="en-US"/>
        </w:rPr>
        <w:t>, 348-362. doi:10.1037/0022-006X.66.2.348</w:t>
      </w:r>
    </w:p>
    <w:p w:rsidR="000C53C2" w:rsidRPr="003956D0" w:rsidRDefault="000C53C2" w:rsidP="000C53C2">
      <w:pPr>
        <w:autoSpaceDE w:val="0"/>
        <w:autoSpaceDN w:val="0"/>
        <w:adjustRightInd w:val="0"/>
        <w:spacing w:line="480" w:lineRule="auto"/>
        <w:ind w:left="432" w:hanging="432"/>
      </w:pPr>
      <w:r w:rsidRPr="003956D0">
        <w:rPr>
          <w:color w:val="000000"/>
          <w:lang w:val="en-US"/>
        </w:rPr>
        <w:t>Hanson, R. K., Harris, A. J. R., Helmus, L., &amp; Thornton, D. (2014). High-risk sex offenders may not be high risk forever.</w:t>
      </w:r>
      <w:r w:rsidRPr="003956D0">
        <w:rPr>
          <w:i/>
          <w:iCs/>
          <w:color w:val="000000"/>
          <w:lang w:val="en-US"/>
        </w:rPr>
        <w:t> Journal of Interpersonal Violence, 29</w:t>
      </w:r>
      <w:r w:rsidRPr="003956D0">
        <w:rPr>
          <w:color w:val="000000"/>
          <w:lang w:val="en-US"/>
        </w:rPr>
        <w:t>, 2792-2813. doi:10.1177/0886260514526062</w:t>
      </w:r>
    </w:p>
    <w:p w:rsidR="000C53C2" w:rsidRPr="003956D0" w:rsidRDefault="000C53C2" w:rsidP="000C53C2">
      <w:pPr>
        <w:spacing w:line="480" w:lineRule="auto"/>
        <w:ind w:left="432" w:hanging="432"/>
        <w:rPr>
          <w:iCs/>
        </w:rPr>
      </w:pPr>
      <w:r w:rsidRPr="003956D0">
        <w:rPr>
          <w:iCs/>
        </w:rPr>
        <w:t xml:space="preserve">*Hanson, R. K., Harris, A. J. R., Scott, T., &amp; Helmus, L. M. (2007). </w:t>
      </w:r>
      <w:r w:rsidRPr="003956D0">
        <w:rPr>
          <w:i/>
        </w:rPr>
        <w:t>Assessing the risk of sexual offenders on community supervision: The Dynamic Supervision Project</w:t>
      </w:r>
      <w:r w:rsidRPr="003956D0">
        <w:rPr>
          <w:iCs/>
        </w:rPr>
        <w:t xml:space="preserve"> [Corrections Research User Report No. 2007-05]. Ottawa, ON, Canada: Public Safety Canada.</w:t>
      </w:r>
    </w:p>
    <w:p w:rsidR="000C53C2" w:rsidRPr="003956D0" w:rsidRDefault="000C53C2" w:rsidP="000C53C2">
      <w:pPr>
        <w:spacing w:line="480" w:lineRule="auto"/>
        <w:ind w:left="432" w:hanging="432"/>
        <w:rPr>
          <w:rFonts w:eastAsia="Calibri"/>
          <w:color w:val="000000"/>
          <w:lang w:eastAsia="en-US"/>
        </w:rPr>
      </w:pPr>
      <w:r w:rsidRPr="003956D0">
        <w:rPr>
          <w:rFonts w:eastAsia="Calibri"/>
          <w:color w:val="000000"/>
          <w:lang w:eastAsia="en-US"/>
        </w:rPr>
        <w:t xml:space="preserve">Hanson, R. K., Helmus, L., &amp; Harris, A. J. R. (2015). Assessing the risk and needs of supervised sexual offenders: A prospective study using STABLE-2007, </w:t>
      </w:r>
      <w:r w:rsidR="005249A4">
        <w:rPr>
          <w:rFonts w:eastAsia="Calibri"/>
          <w:color w:val="000000"/>
          <w:lang w:eastAsia="en-US"/>
        </w:rPr>
        <w:t>S</w:t>
      </w:r>
      <w:r w:rsidRPr="003956D0">
        <w:rPr>
          <w:rFonts w:eastAsia="Calibri"/>
          <w:color w:val="000000"/>
          <w:lang w:eastAsia="en-US"/>
        </w:rPr>
        <w:t xml:space="preserve">tatic-99R, and </w:t>
      </w:r>
      <w:r w:rsidR="005249A4">
        <w:rPr>
          <w:rFonts w:eastAsia="Calibri"/>
          <w:color w:val="000000"/>
          <w:lang w:eastAsia="en-US"/>
        </w:rPr>
        <w:t>S</w:t>
      </w:r>
      <w:r w:rsidRPr="003956D0">
        <w:rPr>
          <w:rFonts w:eastAsia="Calibri"/>
          <w:color w:val="000000"/>
          <w:lang w:eastAsia="en-US"/>
        </w:rPr>
        <w:t xml:space="preserve">tatic-2002R. </w:t>
      </w:r>
      <w:r w:rsidRPr="003956D0">
        <w:rPr>
          <w:rFonts w:eastAsia="Calibri"/>
          <w:i/>
          <w:color w:val="000000"/>
          <w:lang w:eastAsia="en-US"/>
        </w:rPr>
        <w:t>Criminal Justice and Behavior, 42</w:t>
      </w:r>
      <w:r w:rsidRPr="003956D0">
        <w:rPr>
          <w:rFonts w:eastAsia="Calibri"/>
          <w:color w:val="000000"/>
          <w:lang w:eastAsia="en-US"/>
        </w:rPr>
        <w:t xml:space="preserve">, 1205-1224. doi:10.1177/0093854815602094 </w:t>
      </w:r>
    </w:p>
    <w:p w:rsidR="000C53C2" w:rsidRPr="003956D0" w:rsidRDefault="000C53C2" w:rsidP="000C53C2">
      <w:pPr>
        <w:spacing w:line="480" w:lineRule="auto"/>
        <w:ind w:left="432" w:hanging="432"/>
      </w:pPr>
      <w:r w:rsidRPr="003956D0">
        <w:t xml:space="preserve">Hanson, R. K., Steffy, R. A., &amp; Gauthier, R. (1993). Long-term recidivism of child molesters. </w:t>
      </w:r>
      <w:r w:rsidRPr="003956D0">
        <w:rPr>
          <w:i/>
        </w:rPr>
        <w:t>Journal of Consulting and Clinical Psychology, 61</w:t>
      </w:r>
      <w:r w:rsidRPr="003956D0">
        <w:t xml:space="preserve">, 646-652. doi:10.1037/0022-006X.61.4.646 </w:t>
      </w:r>
    </w:p>
    <w:p w:rsidR="000C53C2" w:rsidRPr="003956D0" w:rsidRDefault="000C53C2" w:rsidP="000C53C2">
      <w:pPr>
        <w:spacing w:line="480" w:lineRule="auto"/>
        <w:ind w:left="432" w:hanging="432"/>
      </w:pPr>
      <w:r w:rsidRPr="003956D0">
        <w:rPr>
          <w:color w:val="000000"/>
          <w:lang w:val="en-US"/>
        </w:rPr>
        <w:t xml:space="preserve">Hanson, R. K., Thornton, D., Helmus, L., &amp; Babchishin, K. M. (2016). What sexual recidivism rates are associated with </w:t>
      </w:r>
      <w:r w:rsidR="005249A4">
        <w:rPr>
          <w:color w:val="000000"/>
          <w:lang w:val="en-US"/>
        </w:rPr>
        <w:t>S</w:t>
      </w:r>
      <w:r w:rsidRPr="003956D0">
        <w:rPr>
          <w:color w:val="000000"/>
          <w:lang w:val="en-US"/>
        </w:rPr>
        <w:t xml:space="preserve">tatic-99R and </w:t>
      </w:r>
      <w:r w:rsidR="005249A4">
        <w:rPr>
          <w:color w:val="000000"/>
          <w:lang w:val="en-US"/>
        </w:rPr>
        <w:t>S</w:t>
      </w:r>
      <w:r w:rsidRPr="003956D0">
        <w:rPr>
          <w:color w:val="000000"/>
          <w:lang w:val="en-US"/>
        </w:rPr>
        <w:t>tatic-2002R scores?</w:t>
      </w:r>
      <w:r w:rsidRPr="003956D0">
        <w:rPr>
          <w:i/>
          <w:iCs/>
          <w:color w:val="000000"/>
          <w:lang w:val="en-US"/>
        </w:rPr>
        <w:t> Sexual Abuse: A Journal of Research and Treatment, 28</w:t>
      </w:r>
      <w:r w:rsidRPr="003956D0">
        <w:rPr>
          <w:color w:val="000000"/>
          <w:lang w:val="en-US"/>
        </w:rPr>
        <w:t>, 218-252. doi:10.1177/1079063215574710</w:t>
      </w:r>
    </w:p>
    <w:p w:rsidR="000C53C2" w:rsidRPr="003956D0" w:rsidRDefault="000C53C2" w:rsidP="000C53C2">
      <w:pPr>
        <w:spacing w:line="480" w:lineRule="auto"/>
        <w:ind w:left="432" w:hanging="432"/>
        <w:rPr>
          <w:color w:val="222222"/>
        </w:rPr>
      </w:pPr>
      <w:r w:rsidRPr="003956D0">
        <w:rPr>
          <w:color w:val="222222"/>
        </w:rPr>
        <w:t>Hargreaves, C., &amp; Francis, B. (2014). The long term recidivism risk of young sexual</w:t>
      </w:r>
      <w:r>
        <w:rPr>
          <w:color w:val="222222"/>
        </w:rPr>
        <w:t xml:space="preserve"> offenders in </w:t>
      </w:r>
      <w:r w:rsidR="00240B72">
        <w:rPr>
          <w:color w:val="222222"/>
        </w:rPr>
        <w:t>E</w:t>
      </w:r>
      <w:r>
        <w:rPr>
          <w:color w:val="222222"/>
        </w:rPr>
        <w:t xml:space="preserve">ngland and </w:t>
      </w:r>
      <w:r w:rsidR="00240B72">
        <w:rPr>
          <w:color w:val="222222"/>
        </w:rPr>
        <w:t>W</w:t>
      </w:r>
      <w:r>
        <w:rPr>
          <w:color w:val="222222"/>
        </w:rPr>
        <w:t>ales: E</w:t>
      </w:r>
      <w:r w:rsidRPr="003956D0">
        <w:rPr>
          <w:color w:val="222222"/>
        </w:rPr>
        <w:t xml:space="preserve">nduring risk or redemption? </w:t>
      </w:r>
      <w:r w:rsidRPr="003956D0">
        <w:rPr>
          <w:i/>
          <w:color w:val="222222"/>
        </w:rPr>
        <w:t>Journal of Criminal Justice, 42</w:t>
      </w:r>
      <w:r w:rsidRPr="003956D0">
        <w:rPr>
          <w:color w:val="222222"/>
        </w:rPr>
        <w:t>, 164. doi:10.1016/j.jcrimjus.2013.06.017</w:t>
      </w:r>
    </w:p>
    <w:p w:rsidR="000C53C2" w:rsidRPr="003956D0" w:rsidRDefault="000C53C2" w:rsidP="000C53C2">
      <w:pPr>
        <w:spacing w:line="480" w:lineRule="auto"/>
        <w:ind w:left="432" w:hanging="432"/>
        <w:rPr>
          <w:lang w:val="en-GB"/>
        </w:rPr>
      </w:pPr>
      <w:r w:rsidRPr="00B32FC9">
        <w:rPr>
          <w:lang w:val="fr-CA"/>
        </w:rPr>
        <w:t xml:space="preserve">Harris, A. J. R., &amp; Hanson, R. K. (2004). </w:t>
      </w:r>
      <w:r w:rsidRPr="003956D0">
        <w:rPr>
          <w:i/>
        </w:rPr>
        <w:t xml:space="preserve">Sexual offender recidivism: A simple question. </w:t>
      </w:r>
      <w:r w:rsidRPr="003956D0">
        <w:rPr>
          <w:lang w:val="en-GB"/>
        </w:rPr>
        <w:t xml:space="preserve">[Corrections User Report No 2004-01]. Ottawa, Canada: Public Safety and Emergency Preparedness Canada. Retrieved from </w:t>
      </w:r>
      <w:hyperlink r:id="rId10" w:history="1">
        <w:r w:rsidR="006E4F02" w:rsidRPr="000D663E">
          <w:rPr>
            <w:rStyle w:val="Hyperlink"/>
            <w:lang w:val="en-GB"/>
          </w:rPr>
          <w:t>http://www.publicsafety.gc.ca/res/cor/rep/2004-03-se-off-eng.aspx</w:t>
        </w:r>
      </w:hyperlink>
      <w:r w:rsidRPr="003956D0">
        <w:rPr>
          <w:lang w:val="en-GB"/>
        </w:rPr>
        <w:t xml:space="preserve">. </w:t>
      </w:r>
    </w:p>
    <w:p w:rsidR="000C53C2" w:rsidRPr="003956D0" w:rsidRDefault="000C53C2" w:rsidP="000C53C2">
      <w:pPr>
        <w:spacing w:line="480" w:lineRule="auto"/>
        <w:ind w:left="432" w:hanging="432"/>
        <w:rPr>
          <w:lang w:val="en-GB"/>
        </w:rPr>
      </w:pPr>
      <w:r w:rsidRPr="003956D0">
        <w:rPr>
          <w:lang w:val="en-US"/>
        </w:rPr>
        <w:t>Harris, A. J., &amp; Socia, K</w:t>
      </w:r>
      <w:r w:rsidR="005249A4">
        <w:rPr>
          <w:lang w:val="en-US"/>
        </w:rPr>
        <w:t>. M. (2016). What's in a name? E</w:t>
      </w:r>
      <w:r w:rsidRPr="003956D0">
        <w:rPr>
          <w:lang w:val="en-US"/>
        </w:rPr>
        <w:t>valuating the effects of the "sex offender" label on public opinions and beliefs.</w:t>
      </w:r>
      <w:r w:rsidRPr="003956D0">
        <w:rPr>
          <w:i/>
          <w:iCs/>
          <w:lang w:val="en-US"/>
        </w:rPr>
        <w:t> Sexual Abuse</w:t>
      </w:r>
      <w:r w:rsidR="005249A4">
        <w:rPr>
          <w:i/>
          <w:iCs/>
          <w:lang w:val="en-US"/>
        </w:rPr>
        <w:t>: A Journal of Research and Treatment</w:t>
      </w:r>
      <w:r w:rsidRPr="003956D0">
        <w:rPr>
          <w:i/>
          <w:iCs/>
          <w:lang w:val="en-US"/>
        </w:rPr>
        <w:t>, 28</w:t>
      </w:r>
      <w:r w:rsidRPr="003956D0">
        <w:rPr>
          <w:lang w:val="en-US"/>
        </w:rPr>
        <w:t>, 660-678. doi:10.1177/1079063214564391</w:t>
      </w:r>
    </w:p>
    <w:p w:rsidR="000C53C2" w:rsidRPr="003956D0" w:rsidRDefault="000C53C2" w:rsidP="000C53C2">
      <w:pPr>
        <w:spacing w:line="480" w:lineRule="auto"/>
        <w:ind w:left="432" w:hanging="432"/>
        <w:rPr>
          <w:lang w:val="en-GB"/>
        </w:rPr>
      </w:pPr>
      <w:r w:rsidRPr="003956D0">
        <w:rPr>
          <w:lang w:val="en-GB"/>
        </w:rPr>
        <w:t xml:space="preserve"> Helmus, L. M. (2009). </w:t>
      </w:r>
      <w:r w:rsidRPr="003956D0">
        <w:rPr>
          <w:i/>
          <w:lang w:val="en-GB"/>
        </w:rPr>
        <w:t>Re-norming Static-99 recidivism estimates: Exploring base rate variability across sex offender samples</w:t>
      </w:r>
      <w:r w:rsidRPr="003956D0">
        <w:rPr>
          <w:lang w:val="en-GB"/>
        </w:rPr>
        <w:t xml:space="preserve"> [Master’s thesis]. ProQuest Dissertations and Theses database (UMI No. MR58443). </w:t>
      </w:r>
    </w:p>
    <w:p w:rsidR="000C53C2" w:rsidRPr="003956D0" w:rsidRDefault="000C53C2" w:rsidP="000C53C2">
      <w:pPr>
        <w:spacing w:line="480" w:lineRule="auto"/>
        <w:ind w:left="432" w:hanging="432"/>
      </w:pPr>
      <w:r w:rsidRPr="003956D0">
        <w:t xml:space="preserve">Helmus, L., Hanson, R. K., Thornton, D., Babchishin, K. M., &amp; Harris, A. J. R. (2012). Absolute recidivism rates predicted by </w:t>
      </w:r>
      <w:r w:rsidR="005249A4">
        <w:t>S</w:t>
      </w:r>
      <w:r w:rsidRPr="003956D0">
        <w:t xml:space="preserve">tatic-99R and </w:t>
      </w:r>
      <w:r w:rsidR="005249A4">
        <w:t>S</w:t>
      </w:r>
      <w:r w:rsidRPr="003956D0">
        <w:t xml:space="preserve">tatic-2002R sex offender risk assessment tools vary across samples: A meta-analysis. </w:t>
      </w:r>
      <w:r w:rsidRPr="003956D0">
        <w:rPr>
          <w:i/>
        </w:rPr>
        <w:t>Criminal Justice and Behavior, 39</w:t>
      </w:r>
      <w:r w:rsidRPr="003956D0">
        <w:t xml:space="preserve">, 1148-1171. doi:10.1177/0093854812443648 </w:t>
      </w:r>
    </w:p>
    <w:p w:rsidR="009F307F" w:rsidRDefault="000C53C2" w:rsidP="000C53C2">
      <w:pPr>
        <w:spacing w:line="480" w:lineRule="auto"/>
        <w:ind w:left="432" w:hanging="432"/>
        <w:rPr>
          <w:color w:val="000000"/>
        </w:rPr>
      </w:pPr>
      <w:r w:rsidRPr="003956D0">
        <w:rPr>
          <w:color w:val="000000"/>
        </w:rPr>
        <w:t xml:space="preserve">Helmus, L., Thornton, D., Hanson, R. K., &amp; Babchishin, K. M. (2012). Improving the predictive accuracy of </w:t>
      </w:r>
      <w:r w:rsidR="005249A4">
        <w:rPr>
          <w:color w:val="000000"/>
        </w:rPr>
        <w:t>S</w:t>
      </w:r>
      <w:r w:rsidRPr="003956D0">
        <w:rPr>
          <w:color w:val="000000"/>
        </w:rPr>
        <w:t xml:space="preserve">tatic-99 and </w:t>
      </w:r>
      <w:r w:rsidR="005249A4">
        <w:rPr>
          <w:color w:val="000000"/>
        </w:rPr>
        <w:t>S</w:t>
      </w:r>
      <w:r w:rsidRPr="003956D0">
        <w:rPr>
          <w:color w:val="000000"/>
        </w:rPr>
        <w:t xml:space="preserve">tatic-2002 with older sex offenders: Revised age weights. </w:t>
      </w:r>
      <w:r w:rsidRPr="003956D0">
        <w:rPr>
          <w:i/>
          <w:color w:val="000000"/>
        </w:rPr>
        <w:t>Sexual Abuse: A Journal of Research and Treatment, 24</w:t>
      </w:r>
      <w:r w:rsidRPr="003956D0">
        <w:rPr>
          <w:color w:val="000000"/>
        </w:rPr>
        <w:t xml:space="preserve">, 64-101. doi:10.1177/1079063211409951 </w:t>
      </w:r>
    </w:p>
    <w:p w:rsidR="000C53C2" w:rsidRPr="003956D0" w:rsidRDefault="000C53C2" w:rsidP="000C53C2">
      <w:pPr>
        <w:spacing w:line="480" w:lineRule="auto"/>
        <w:ind w:left="432" w:hanging="432"/>
        <w:rPr>
          <w:bCs/>
          <w:iCs/>
        </w:rPr>
      </w:pPr>
      <w:r w:rsidRPr="003956D0">
        <w:rPr>
          <w:bCs/>
        </w:rPr>
        <w:t xml:space="preserve">*Hill, A., Habermann, N., Klusmann, D., Berner, W., &amp; Briken, P. (2008). Criminal recidivism in sexual homicide perpetrators. </w:t>
      </w:r>
      <w:r w:rsidRPr="003956D0">
        <w:rPr>
          <w:bCs/>
          <w:i/>
        </w:rPr>
        <w:t>International Journal of Offender Therapy and Comparative Criminology, 52</w:t>
      </w:r>
      <w:r w:rsidRPr="003956D0">
        <w:rPr>
          <w:bCs/>
        </w:rPr>
        <w:t>, 5-20. doi:10.1177/0306624X07307450</w:t>
      </w:r>
    </w:p>
    <w:p w:rsidR="000C53C2" w:rsidRPr="003956D0" w:rsidRDefault="000C53C2" w:rsidP="000C53C2">
      <w:pPr>
        <w:pStyle w:val="Reference"/>
        <w:numPr>
          <w:ilvl w:val="0"/>
          <w:numId w:val="0"/>
        </w:numPr>
        <w:spacing w:before="0" w:line="480" w:lineRule="auto"/>
        <w:ind w:left="432" w:hanging="432"/>
        <w:rPr>
          <w:i/>
          <w:iCs/>
          <w:szCs w:val="24"/>
        </w:rPr>
      </w:pPr>
      <w:r w:rsidRPr="003956D0">
        <w:rPr>
          <w:color w:val="000000"/>
          <w:szCs w:val="24"/>
        </w:rPr>
        <w:t xml:space="preserve">Hillberg, T., Hamilton-Giachritsis, C., &amp; Dixon, L. (2011). Review of meta-analyses on the association between child sexual abuse and adult mental health difficulties: A systematic approach. </w:t>
      </w:r>
      <w:r w:rsidRPr="003956D0">
        <w:rPr>
          <w:i/>
          <w:iCs/>
          <w:szCs w:val="24"/>
        </w:rPr>
        <w:t>Trauma, Violence, &amp; Abuse, 12</w:t>
      </w:r>
      <w:r w:rsidRPr="003956D0">
        <w:rPr>
          <w:iCs/>
          <w:szCs w:val="24"/>
        </w:rPr>
        <w:t>, 38-49</w:t>
      </w:r>
      <w:r w:rsidRPr="003956D0">
        <w:rPr>
          <w:i/>
          <w:iCs/>
          <w:szCs w:val="24"/>
        </w:rPr>
        <w:t xml:space="preserve">. </w:t>
      </w:r>
      <w:r w:rsidRPr="003956D0">
        <w:rPr>
          <w:color w:val="000000"/>
          <w:szCs w:val="24"/>
        </w:rPr>
        <w:t>doi:10.1177/1524838010386812</w:t>
      </w:r>
    </w:p>
    <w:p w:rsidR="000C53C2" w:rsidRPr="003956D0" w:rsidRDefault="000C53C2" w:rsidP="000C53C2">
      <w:pPr>
        <w:spacing w:line="480" w:lineRule="auto"/>
        <w:ind w:left="432" w:hanging="432"/>
      </w:pPr>
      <w:r w:rsidRPr="003956D0">
        <w:t xml:space="preserve">Hosmer, D. W., Lemeshow, S., &amp; Sturdivant., R. X. (2013). </w:t>
      </w:r>
      <w:r w:rsidRPr="003956D0">
        <w:rPr>
          <w:i/>
        </w:rPr>
        <w:t xml:space="preserve">Applied </w:t>
      </w:r>
      <w:r w:rsidR="005249A4">
        <w:rPr>
          <w:i/>
        </w:rPr>
        <w:t>l</w:t>
      </w:r>
      <w:r w:rsidRPr="003956D0">
        <w:rPr>
          <w:i/>
        </w:rPr>
        <w:t xml:space="preserve">ogistic </w:t>
      </w:r>
      <w:r w:rsidR="005249A4">
        <w:rPr>
          <w:i/>
        </w:rPr>
        <w:t>r</w:t>
      </w:r>
      <w:r w:rsidRPr="003956D0">
        <w:rPr>
          <w:i/>
        </w:rPr>
        <w:t>egression,</w:t>
      </w:r>
      <w:r w:rsidRPr="003956D0">
        <w:t xml:space="preserve"> 3</w:t>
      </w:r>
      <w:r w:rsidRPr="003956D0">
        <w:rPr>
          <w:vertAlign w:val="superscript"/>
        </w:rPr>
        <w:t>rd</w:t>
      </w:r>
      <w:r w:rsidRPr="003956D0">
        <w:t xml:space="preserve"> ed. New York: Wiley.</w:t>
      </w:r>
    </w:p>
    <w:p w:rsidR="000C53C2" w:rsidRPr="003956D0" w:rsidRDefault="000C53C2" w:rsidP="000C53C2">
      <w:pPr>
        <w:spacing w:line="480" w:lineRule="auto"/>
        <w:ind w:left="432" w:hanging="432"/>
      </w:pPr>
      <w:r w:rsidRPr="003956D0">
        <w:t xml:space="preserve">*Johansen, S. H. (2007). Accuracy of predictions of sexual offense recidivism: A comparison of actuarial and clinical methods [Doctoral dissertation]. </w:t>
      </w:r>
      <w:r w:rsidRPr="003956D0">
        <w:rPr>
          <w:i/>
          <w:iCs/>
        </w:rPr>
        <w:t>Dissertations Abstracts International 68</w:t>
      </w:r>
      <w:r w:rsidRPr="003956D0">
        <w:t>(03), B. (UMI No. 3255527).</w:t>
      </w:r>
    </w:p>
    <w:p w:rsidR="000C53C2" w:rsidRPr="005249A4" w:rsidRDefault="000C53C2" w:rsidP="000C53C2">
      <w:pPr>
        <w:pStyle w:val="Reference"/>
        <w:numPr>
          <w:ilvl w:val="0"/>
          <w:numId w:val="0"/>
        </w:numPr>
        <w:spacing w:before="0" w:line="480" w:lineRule="auto"/>
        <w:ind w:left="432" w:hanging="432"/>
        <w:rPr>
          <w:iCs/>
          <w:szCs w:val="24"/>
          <w:lang w:val="en-CA"/>
        </w:rPr>
      </w:pPr>
      <w:r w:rsidRPr="003956D0">
        <w:rPr>
          <w:iCs/>
          <w:szCs w:val="24"/>
          <w:lang w:val="en-CA"/>
        </w:rPr>
        <w:t xml:space="preserve">Kahn, R. E., Ambroziak, G., </w:t>
      </w:r>
      <w:r w:rsidRPr="005249A4">
        <w:rPr>
          <w:iCs/>
          <w:szCs w:val="24"/>
          <w:lang w:val="en-CA"/>
        </w:rPr>
        <w:t>Han</w:t>
      </w:r>
      <w:r w:rsidR="005249A4" w:rsidRPr="005249A4">
        <w:rPr>
          <w:iCs/>
          <w:szCs w:val="24"/>
          <w:lang w:val="en-CA"/>
        </w:rPr>
        <w:t>son, R. K., &amp; Thornton, D. (2017</w:t>
      </w:r>
      <w:r w:rsidRPr="005249A4">
        <w:rPr>
          <w:iCs/>
          <w:szCs w:val="24"/>
          <w:lang w:val="en-CA"/>
        </w:rPr>
        <w:t xml:space="preserve">). Release from the ‘sex offender’ label. </w:t>
      </w:r>
      <w:r w:rsidR="005249A4" w:rsidRPr="005249A4">
        <w:rPr>
          <w:iCs/>
          <w:szCs w:val="24"/>
          <w:lang w:val="en-CA"/>
        </w:rPr>
        <w:t xml:space="preserve">Advance online publication.  </w:t>
      </w:r>
      <w:r w:rsidR="005249A4" w:rsidRPr="005249A4">
        <w:rPr>
          <w:i/>
          <w:iCs/>
          <w:szCs w:val="24"/>
          <w:lang w:val="en-CA"/>
        </w:rPr>
        <w:t xml:space="preserve">Archives of Sexual Behavior. </w:t>
      </w:r>
      <w:r w:rsidR="005249A4" w:rsidRPr="005249A4">
        <w:rPr>
          <w:szCs w:val="24"/>
          <w:lang w:val="en-CA"/>
        </w:rPr>
        <w:t>doi:10.1007/x10508-017-0972-y</w:t>
      </w:r>
      <w:r w:rsidRPr="005249A4">
        <w:rPr>
          <w:iCs/>
          <w:szCs w:val="24"/>
          <w:lang w:val="en-CA"/>
        </w:rPr>
        <w:t xml:space="preserve"> </w:t>
      </w:r>
    </w:p>
    <w:p w:rsidR="000C53C2" w:rsidRPr="003956D0" w:rsidRDefault="000C53C2" w:rsidP="000C53C2">
      <w:pPr>
        <w:pStyle w:val="Reference"/>
        <w:numPr>
          <w:ilvl w:val="0"/>
          <w:numId w:val="0"/>
        </w:numPr>
        <w:spacing w:before="0" w:line="480" w:lineRule="auto"/>
        <w:ind w:left="432" w:hanging="432"/>
        <w:rPr>
          <w:iCs/>
          <w:szCs w:val="24"/>
          <w:lang w:val="en-CA"/>
        </w:rPr>
      </w:pPr>
      <w:r w:rsidRPr="005249A4">
        <w:rPr>
          <w:iCs/>
          <w:szCs w:val="24"/>
          <w:lang w:val="en-CA"/>
        </w:rPr>
        <w:t xml:space="preserve">Kazemian, L. (2007). Desistance from crime: Theoretical, empirical, methodological, and policy considerations. </w:t>
      </w:r>
      <w:r w:rsidRPr="005249A4">
        <w:rPr>
          <w:i/>
          <w:iCs/>
          <w:szCs w:val="24"/>
          <w:lang w:val="en-CA"/>
        </w:rPr>
        <w:t>Journal of</w:t>
      </w:r>
      <w:r w:rsidRPr="003956D0">
        <w:rPr>
          <w:i/>
          <w:iCs/>
          <w:szCs w:val="24"/>
          <w:lang w:val="en-CA"/>
        </w:rPr>
        <w:t xml:space="preserve"> Contemporary Criminal Justice, 23</w:t>
      </w:r>
      <w:r w:rsidRPr="003956D0">
        <w:rPr>
          <w:iCs/>
          <w:szCs w:val="24"/>
          <w:lang w:val="en-CA"/>
        </w:rPr>
        <w:t xml:space="preserve">, 5-27. doi:10.1177/1043986206298940 </w:t>
      </w:r>
    </w:p>
    <w:p w:rsidR="000C53C2" w:rsidRPr="003956D0" w:rsidRDefault="000C53C2" w:rsidP="000C53C2">
      <w:pPr>
        <w:autoSpaceDE w:val="0"/>
        <w:autoSpaceDN w:val="0"/>
        <w:adjustRightInd w:val="0"/>
        <w:spacing w:line="480" w:lineRule="auto"/>
        <w:ind w:left="432" w:hanging="432"/>
        <w:rPr>
          <w:lang w:val="sv-SE" w:eastAsia="en-US"/>
        </w:rPr>
      </w:pPr>
      <w:r w:rsidRPr="003956D0">
        <w:rPr>
          <w:lang w:val="sv-SE" w:eastAsia="en-US"/>
        </w:rPr>
        <w:t xml:space="preserve">Kendler, K. S., Bulik, C. M., Silberg, J., Hettema, J. M., Myers, J., &amp; Prescott, C. A. (2000). Childhood sexual abuse and adult psychiatric and substance use disorders in women: </w:t>
      </w:r>
      <w:r w:rsidR="00755860">
        <w:rPr>
          <w:lang w:val="sv-SE" w:eastAsia="en-US"/>
        </w:rPr>
        <w:t>A</w:t>
      </w:r>
      <w:r w:rsidRPr="003956D0">
        <w:rPr>
          <w:lang w:val="sv-SE" w:eastAsia="en-US"/>
        </w:rPr>
        <w:t xml:space="preserve">n epidemiological and cotwin control analysis. </w:t>
      </w:r>
      <w:r w:rsidRPr="003956D0">
        <w:rPr>
          <w:i/>
          <w:lang w:val="sv-SE" w:eastAsia="en-US"/>
        </w:rPr>
        <w:t>Archives of General Psychiatry, 57</w:t>
      </w:r>
      <w:r w:rsidRPr="003956D0">
        <w:rPr>
          <w:lang w:val="sv-SE" w:eastAsia="en-US"/>
        </w:rPr>
        <w:t xml:space="preserve">, 953-959. doi:10.1001/archpsyc.57.10.953 </w:t>
      </w:r>
    </w:p>
    <w:p w:rsidR="000C53C2" w:rsidRPr="003956D0" w:rsidRDefault="000C53C2" w:rsidP="000C53C2">
      <w:pPr>
        <w:autoSpaceDE w:val="0"/>
        <w:autoSpaceDN w:val="0"/>
        <w:adjustRightInd w:val="0"/>
        <w:spacing w:line="480" w:lineRule="auto"/>
        <w:ind w:left="432" w:hanging="432"/>
        <w:rPr>
          <w:bCs/>
          <w:iCs/>
        </w:rPr>
      </w:pPr>
      <w:r w:rsidRPr="003956D0">
        <w:rPr>
          <w:bCs/>
          <w:iCs/>
        </w:rPr>
        <w:t xml:space="preserve">Knight, R. A., &amp; Thornton, D. (2007). </w:t>
      </w:r>
      <w:r w:rsidRPr="003956D0">
        <w:rPr>
          <w:bCs/>
          <w:i/>
        </w:rPr>
        <w:t>Evaluating and improving risk assessment schemes for sexual recidivism: A long-term follow-up of convicted sexual offenders</w:t>
      </w:r>
      <w:r w:rsidRPr="003956D0">
        <w:rPr>
          <w:bCs/>
          <w:iCs/>
        </w:rPr>
        <w:t xml:space="preserve"> (Document No. 217618). Submitted to the U.S. Department of Justice.</w:t>
      </w:r>
    </w:p>
    <w:p w:rsidR="000C53C2" w:rsidRPr="009F307F" w:rsidRDefault="000C53C2" w:rsidP="000C53C2">
      <w:pPr>
        <w:autoSpaceDE w:val="0"/>
        <w:autoSpaceDN w:val="0"/>
        <w:adjustRightInd w:val="0"/>
        <w:spacing w:line="480" w:lineRule="auto"/>
        <w:ind w:left="432" w:hanging="432"/>
        <w:rPr>
          <w:bCs/>
          <w:iCs/>
        </w:rPr>
      </w:pPr>
      <w:r w:rsidRPr="009F307F">
        <w:rPr>
          <w:lang w:val="en-US"/>
        </w:rPr>
        <w:t>Kurlychek, M. C., Brame, R., &amp; Bushway, S. D. (2006). Scarlet letters and recidivism: Does an old criminal record predict future offending?</w:t>
      </w:r>
      <w:r w:rsidRPr="009F307F">
        <w:rPr>
          <w:i/>
          <w:iCs/>
          <w:lang w:val="en-US"/>
        </w:rPr>
        <w:t> Criminology &amp; Public Policy, 5</w:t>
      </w:r>
      <w:r w:rsidRPr="009F307F">
        <w:rPr>
          <w:lang w:val="en-US"/>
        </w:rPr>
        <w:t>, 483-504. doi:10.1111/j.1745-9133.2006.00397.x</w:t>
      </w:r>
    </w:p>
    <w:p w:rsidR="000C53C2" w:rsidRPr="003956D0" w:rsidRDefault="000C53C2" w:rsidP="000C53C2">
      <w:pPr>
        <w:tabs>
          <w:tab w:val="left" w:pos="1423"/>
        </w:tabs>
        <w:spacing w:line="480" w:lineRule="auto"/>
        <w:ind w:left="432" w:hanging="432"/>
        <w:contextualSpacing/>
      </w:pPr>
      <w:r w:rsidRPr="009F307F">
        <w:t xml:space="preserve">Kurlychek, M. C., Brame, R., &amp; Bushway, S. D. (2007). Enduring risk? </w:t>
      </w:r>
      <w:r w:rsidR="00211E70" w:rsidRPr="009F307F">
        <w:t>O</w:t>
      </w:r>
      <w:r w:rsidRPr="009F307F">
        <w:t xml:space="preserve">ld criminal records and predictions of future criminal involvement. </w:t>
      </w:r>
      <w:r w:rsidRPr="009F307F">
        <w:rPr>
          <w:i/>
        </w:rPr>
        <w:t>Crime &amp; Delinquency, 53</w:t>
      </w:r>
      <w:r w:rsidRPr="009F307F">
        <w:t>, 64-83. doi:10.1177/0011128706294439</w:t>
      </w:r>
    </w:p>
    <w:p w:rsidR="000C53C2" w:rsidRPr="003956D0" w:rsidRDefault="000C53C2" w:rsidP="000C53C2">
      <w:pPr>
        <w:pStyle w:val="BodyTextIndent"/>
        <w:spacing w:after="0" w:line="480" w:lineRule="auto"/>
        <w:ind w:left="432" w:hanging="432"/>
      </w:pPr>
      <w:r w:rsidRPr="003956D0">
        <w:t>Kurlychek, M. C., Bushway, S. D., &amp; Brame, R. (2012). Long</w:t>
      </w:r>
      <w:r w:rsidRPr="003956D0">
        <w:rPr>
          <w:rFonts w:ascii="Calibri" w:eastAsia="Calibri" w:hAnsi="Calibri" w:cs="Calibri"/>
        </w:rPr>
        <w:t>‐</w:t>
      </w:r>
      <w:r w:rsidRPr="003956D0">
        <w:t xml:space="preserve">term crime desistance and recidivism patterns—evidence from the </w:t>
      </w:r>
      <w:r w:rsidR="00211E70">
        <w:t>E</w:t>
      </w:r>
      <w:r w:rsidRPr="003956D0">
        <w:t xml:space="preserve">ssex county convicted felon study. </w:t>
      </w:r>
      <w:r w:rsidRPr="003956D0">
        <w:rPr>
          <w:i/>
        </w:rPr>
        <w:t>Criminology, 50</w:t>
      </w:r>
      <w:r w:rsidRPr="003956D0">
        <w:t xml:space="preserve">, 71-103. doi:10.1111/j.1745-9125.2011.00259.x </w:t>
      </w:r>
    </w:p>
    <w:p w:rsidR="000C53C2" w:rsidRPr="003956D0" w:rsidRDefault="000C53C2" w:rsidP="000C53C2">
      <w:pPr>
        <w:pStyle w:val="BodyTextIndent"/>
        <w:spacing w:after="0" w:line="480" w:lineRule="auto"/>
        <w:ind w:left="432" w:hanging="432"/>
      </w:pPr>
      <w:r w:rsidRPr="003956D0">
        <w:t xml:space="preserve">*Långström, N. (2004). Accuracy of actuarial procedures for assessment of sexual offender recidivism risk may vary across ethnicity. </w:t>
      </w:r>
      <w:r w:rsidRPr="003956D0">
        <w:rPr>
          <w:i/>
        </w:rPr>
        <w:t>Sexual Abuse: A Journal of Research and Treatment, 16</w:t>
      </w:r>
      <w:r w:rsidRPr="003956D0">
        <w:t>, 107-120. doi:10.1023/B:SEBU.0000023060.61402.07</w:t>
      </w:r>
    </w:p>
    <w:p w:rsidR="000C53C2" w:rsidRPr="003956D0" w:rsidRDefault="000C53C2" w:rsidP="000C53C2">
      <w:pPr>
        <w:pStyle w:val="Heading1"/>
        <w:spacing w:before="0" w:after="0" w:line="480" w:lineRule="auto"/>
        <w:ind w:left="432" w:hanging="432"/>
        <w:rPr>
          <w:rFonts w:ascii="Times New Roman" w:hAnsi="Times New Roman" w:cs="Times New Roman"/>
          <w:color w:val="222222"/>
          <w:spacing w:val="0"/>
          <w:kern w:val="0"/>
          <w:sz w:val="24"/>
          <w:szCs w:val="24"/>
        </w:rPr>
      </w:pPr>
      <w:r w:rsidRPr="003956D0">
        <w:rPr>
          <w:rFonts w:ascii="Times New Roman" w:hAnsi="Times New Roman" w:cs="Times New Roman"/>
          <w:color w:val="222222"/>
          <w:spacing w:val="0"/>
          <w:kern w:val="0"/>
          <w:sz w:val="24"/>
          <w:szCs w:val="24"/>
        </w:rPr>
        <w:t xml:space="preserve">Lasher, M. P., &amp; McGrath, R. J. (2017). Desistance from sexual and other violent offending among child sexual abusers: Observations using the </w:t>
      </w:r>
      <w:r w:rsidR="00211E70">
        <w:rPr>
          <w:rFonts w:ascii="Times New Roman" w:hAnsi="Times New Roman" w:cs="Times New Roman"/>
          <w:color w:val="222222"/>
          <w:spacing w:val="0"/>
          <w:kern w:val="0"/>
          <w:sz w:val="24"/>
          <w:szCs w:val="24"/>
        </w:rPr>
        <w:t>S</w:t>
      </w:r>
      <w:r w:rsidRPr="003956D0">
        <w:rPr>
          <w:rFonts w:ascii="Times New Roman" w:hAnsi="Times New Roman" w:cs="Times New Roman"/>
          <w:color w:val="222222"/>
          <w:spacing w:val="0"/>
          <w:kern w:val="0"/>
          <w:sz w:val="24"/>
          <w:szCs w:val="24"/>
        </w:rPr>
        <w:t xml:space="preserve">ex </w:t>
      </w:r>
      <w:r w:rsidR="00211E70" w:rsidRPr="003956D0">
        <w:rPr>
          <w:rFonts w:ascii="Times New Roman" w:hAnsi="Times New Roman" w:cs="Times New Roman"/>
          <w:color w:val="222222"/>
          <w:spacing w:val="0"/>
          <w:kern w:val="0"/>
          <w:sz w:val="24"/>
          <w:szCs w:val="24"/>
        </w:rPr>
        <w:t xml:space="preserve">Offender Treatment Intervention </w:t>
      </w:r>
      <w:r w:rsidR="00211E70">
        <w:rPr>
          <w:rFonts w:ascii="Times New Roman" w:hAnsi="Times New Roman" w:cs="Times New Roman"/>
          <w:color w:val="222222"/>
          <w:spacing w:val="0"/>
          <w:kern w:val="0"/>
          <w:sz w:val="24"/>
          <w:szCs w:val="24"/>
        </w:rPr>
        <w:t>a</w:t>
      </w:r>
      <w:r w:rsidR="00211E70" w:rsidRPr="003956D0">
        <w:rPr>
          <w:rFonts w:ascii="Times New Roman" w:hAnsi="Times New Roman" w:cs="Times New Roman"/>
          <w:color w:val="222222"/>
          <w:spacing w:val="0"/>
          <w:kern w:val="0"/>
          <w:sz w:val="24"/>
          <w:szCs w:val="24"/>
        </w:rPr>
        <w:t>nd Progress Scal</w:t>
      </w:r>
      <w:r w:rsidRPr="003956D0">
        <w:rPr>
          <w:rFonts w:ascii="Times New Roman" w:hAnsi="Times New Roman" w:cs="Times New Roman"/>
          <w:color w:val="222222"/>
          <w:spacing w:val="0"/>
          <w:kern w:val="0"/>
          <w:sz w:val="24"/>
          <w:szCs w:val="24"/>
        </w:rPr>
        <w:t xml:space="preserve">e. </w:t>
      </w:r>
      <w:r w:rsidRPr="003956D0">
        <w:rPr>
          <w:rFonts w:ascii="Times New Roman" w:hAnsi="Times New Roman" w:cs="Times New Roman"/>
          <w:i/>
          <w:color w:val="222222"/>
          <w:spacing w:val="0"/>
          <w:kern w:val="0"/>
          <w:sz w:val="24"/>
          <w:szCs w:val="24"/>
        </w:rPr>
        <w:t>Criminal Justice and Behavior, 44</w:t>
      </w:r>
      <w:r w:rsidRPr="003956D0">
        <w:rPr>
          <w:rFonts w:ascii="Times New Roman" w:hAnsi="Times New Roman" w:cs="Times New Roman"/>
          <w:color w:val="222222"/>
          <w:spacing w:val="0"/>
          <w:kern w:val="0"/>
          <w:sz w:val="24"/>
          <w:szCs w:val="24"/>
        </w:rPr>
        <w:t xml:space="preserve">, 416-431. doi:10.1177/0093854816670194 </w:t>
      </w:r>
    </w:p>
    <w:p w:rsidR="000C53C2" w:rsidRPr="003956D0" w:rsidRDefault="000C53C2" w:rsidP="000C53C2">
      <w:pPr>
        <w:pStyle w:val="Heading1"/>
        <w:spacing w:before="0" w:after="0" w:line="480" w:lineRule="auto"/>
        <w:ind w:left="432" w:hanging="432"/>
        <w:rPr>
          <w:rFonts w:ascii="Times New Roman" w:hAnsi="Times New Roman" w:cs="Times New Roman"/>
          <w:sz w:val="24"/>
          <w:szCs w:val="24"/>
        </w:rPr>
      </w:pPr>
      <w:r w:rsidRPr="003956D0">
        <w:rPr>
          <w:rFonts w:ascii="Times New Roman" w:hAnsi="Times New Roman" w:cs="Times New Roman"/>
          <w:sz w:val="24"/>
          <w:szCs w:val="24"/>
        </w:rPr>
        <w:t xml:space="preserve">Laws, R. D. (2016). </w:t>
      </w:r>
      <w:r w:rsidRPr="003956D0">
        <w:rPr>
          <w:rFonts w:ascii="Times New Roman" w:hAnsi="Times New Roman" w:cs="Times New Roman"/>
          <w:i/>
          <w:sz w:val="24"/>
          <w:szCs w:val="24"/>
        </w:rPr>
        <w:t>Social control of sex offenders: A cultural history</w:t>
      </w:r>
      <w:r w:rsidRPr="003956D0">
        <w:rPr>
          <w:rFonts w:ascii="Times New Roman" w:hAnsi="Times New Roman" w:cs="Times New Roman"/>
          <w:sz w:val="24"/>
          <w:szCs w:val="24"/>
        </w:rPr>
        <w:t>. New York: Palgrave MacMillan.</w:t>
      </w:r>
    </w:p>
    <w:p w:rsidR="000C53C2" w:rsidRPr="003956D0" w:rsidRDefault="000C53C2" w:rsidP="000C53C2">
      <w:pPr>
        <w:pStyle w:val="Heading1"/>
        <w:spacing w:before="0" w:after="0" w:line="480" w:lineRule="auto"/>
        <w:ind w:left="432" w:hanging="432"/>
        <w:rPr>
          <w:rFonts w:ascii="Times New Roman" w:hAnsi="Times New Roman" w:cs="Times New Roman"/>
          <w:color w:val="222222"/>
          <w:sz w:val="24"/>
          <w:szCs w:val="24"/>
        </w:rPr>
      </w:pPr>
      <w:r w:rsidRPr="003956D0">
        <w:rPr>
          <w:rFonts w:ascii="Times New Roman" w:hAnsi="Times New Roman" w:cs="Times New Roman"/>
          <w:color w:val="222222"/>
          <w:sz w:val="24"/>
          <w:szCs w:val="24"/>
        </w:rPr>
        <w:t xml:space="preserve">Lawson, L., &amp; Savell., S. (2003). Law enforcement perspective on sex offender registration and community notification. </w:t>
      </w:r>
      <w:r w:rsidRPr="003956D0">
        <w:rPr>
          <w:rFonts w:ascii="Times New Roman" w:hAnsi="Times New Roman" w:cs="Times New Roman"/>
          <w:i/>
          <w:iCs/>
          <w:color w:val="222222"/>
          <w:sz w:val="24"/>
          <w:szCs w:val="24"/>
        </w:rPr>
        <w:t>APSAC Advisor,</w:t>
      </w:r>
      <w:r w:rsidRPr="003956D0">
        <w:rPr>
          <w:rFonts w:ascii="Times New Roman" w:hAnsi="Times New Roman" w:cs="Times New Roman"/>
          <w:color w:val="222222"/>
          <w:sz w:val="24"/>
          <w:szCs w:val="24"/>
        </w:rPr>
        <w:t xml:space="preserve"> </w:t>
      </w:r>
      <w:r w:rsidRPr="003956D0">
        <w:rPr>
          <w:rFonts w:ascii="Times New Roman" w:hAnsi="Times New Roman" w:cs="Times New Roman"/>
          <w:i/>
          <w:iCs/>
          <w:color w:val="222222"/>
          <w:sz w:val="24"/>
          <w:szCs w:val="24"/>
        </w:rPr>
        <w:t>15</w:t>
      </w:r>
      <w:r w:rsidRPr="003956D0">
        <w:rPr>
          <w:rFonts w:ascii="Times New Roman" w:hAnsi="Times New Roman" w:cs="Times New Roman"/>
          <w:color w:val="222222"/>
          <w:sz w:val="24"/>
          <w:szCs w:val="24"/>
        </w:rPr>
        <w:t>(1), 9-12.</w:t>
      </w:r>
    </w:p>
    <w:p w:rsidR="000C53C2" w:rsidRPr="003956D0" w:rsidRDefault="000C53C2" w:rsidP="000C53C2">
      <w:pPr>
        <w:pStyle w:val="StyleLeft0Hanging1"/>
        <w:spacing w:line="480" w:lineRule="auto"/>
        <w:ind w:left="432" w:hanging="432"/>
        <w:rPr>
          <w:rFonts w:ascii="Times New Roman" w:eastAsiaTheme="minorEastAsia" w:hAnsi="Times New Roman"/>
          <w:snapToGrid/>
          <w:szCs w:val="24"/>
          <w:lang w:val="en-CA"/>
        </w:rPr>
      </w:pPr>
      <w:r w:rsidRPr="009B5ED1">
        <w:rPr>
          <w:rFonts w:ascii="Times New Roman" w:eastAsiaTheme="minorEastAsia" w:hAnsi="Times New Roman"/>
          <w:snapToGrid/>
          <w:szCs w:val="24"/>
          <w:lang w:val="fr-CA"/>
        </w:rPr>
        <w:t xml:space="preserve">Letourneau, E. J., &amp; Caldwell, M. F. (2013). </w:t>
      </w:r>
      <w:r w:rsidRPr="003956D0">
        <w:rPr>
          <w:rFonts w:ascii="Times New Roman" w:eastAsiaTheme="minorEastAsia" w:hAnsi="Times New Roman"/>
          <w:snapToGrid/>
          <w:szCs w:val="24"/>
          <w:lang w:val="en-CA"/>
        </w:rPr>
        <w:t xml:space="preserve">Expensive, harmful policies that don't work or how juvenile sexual offending is addressed in the U.S. </w:t>
      </w:r>
      <w:r w:rsidRPr="003956D0">
        <w:rPr>
          <w:rFonts w:ascii="Times New Roman" w:eastAsiaTheme="minorEastAsia" w:hAnsi="Times New Roman"/>
          <w:i/>
          <w:snapToGrid/>
          <w:szCs w:val="24"/>
          <w:lang w:val="en-CA"/>
        </w:rPr>
        <w:t>International Journal of Behavioral Consultation and Therapy, 8</w:t>
      </w:r>
      <w:r w:rsidRPr="003956D0">
        <w:rPr>
          <w:rFonts w:ascii="Times New Roman" w:eastAsiaTheme="minorEastAsia" w:hAnsi="Times New Roman"/>
          <w:snapToGrid/>
          <w:szCs w:val="24"/>
          <w:lang w:val="en-CA"/>
        </w:rPr>
        <w:t xml:space="preserve">, 23-29. doi:10.1037/h0100979 </w:t>
      </w:r>
    </w:p>
    <w:p w:rsidR="000C53C2" w:rsidRPr="003956D0" w:rsidRDefault="000C53C2" w:rsidP="000C53C2">
      <w:pPr>
        <w:pStyle w:val="StyleLeft0Hanging1"/>
        <w:spacing w:line="480" w:lineRule="auto"/>
        <w:ind w:left="432" w:hanging="432"/>
        <w:rPr>
          <w:rFonts w:ascii="Times New Roman" w:hAnsi="Times New Roman"/>
          <w:szCs w:val="24"/>
        </w:rPr>
      </w:pPr>
      <w:r w:rsidRPr="00966512">
        <w:rPr>
          <w:rFonts w:ascii="Times New Roman" w:hAnsi="Times New Roman"/>
          <w:szCs w:val="24"/>
          <w:lang w:val="fr-CA"/>
        </w:rPr>
        <w:t xml:space="preserve">Letourneau, E. J., &amp; Levenson., J. S. (2010). </w:t>
      </w:r>
      <w:r w:rsidRPr="003956D0">
        <w:rPr>
          <w:rFonts w:ascii="Times New Roman" w:hAnsi="Times New Roman"/>
          <w:szCs w:val="24"/>
        </w:rPr>
        <w:t>Preventing sexual abuse: Community protection policies and practice. In J. Meyers (Ed.),</w:t>
      </w:r>
      <w:r w:rsidRPr="003956D0">
        <w:rPr>
          <w:rFonts w:ascii="Times New Roman" w:hAnsi="Times New Roman"/>
          <w:i/>
          <w:szCs w:val="24"/>
        </w:rPr>
        <w:t xml:space="preserve"> The APSAC handbook on child maltreatment, </w:t>
      </w:r>
      <w:r w:rsidRPr="003956D0">
        <w:rPr>
          <w:rFonts w:ascii="Times New Roman" w:hAnsi="Times New Roman"/>
          <w:szCs w:val="24"/>
        </w:rPr>
        <w:t>3</w:t>
      </w:r>
      <w:r w:rsidRPr="003956D0">
        <w:rPr>
          <w:rFonts w:ascii="Times New Roman" w:hAnsi="Times New Roman"/>
          <w:szCs w:val="24"/>
          <w:vertAlign w:val="superscript"/>
        </w:rPr>
        <w:t>rd</w:t>
      </w:r>
      <w:r w:rsidRPr="003956D0">
        <w:rPr>
          <w:rFonts w:ascii="Times New Roman" w:hAnsi="Times New Roman"/>
          <w:szCs w:val="24"/>
        </w:rPr>
        <w:t xml:space="preserve"> ed. (pp. </w:t>
      </w:r>
      <w:r w:rsidR="00206EB2">
        <w:rPr>
          <w:rFonts w:ascii="Times New Roman" w:hAnsi="Times New Roman"/>
          <w:szCs w:val="24"/>
        </w:rPr>
        <w:t>307-322</w:t>
      </w:r>
      <w:r w:rsidRPr="003956D0">
        <w:rPr>
          <w:rFonts w:ascii="Times New Roman" w:hAnsi="Times New Roman"/>
          <w:szCs w:val="24"/>
        </w:rPr>
        <w:t>).Thousand Oaks, CA: Sage.</w:t>
      </w:r>
    </w:p>
    <w:p w:rsidR="000C53C2" w:rsidRPr="003956D0" w:rsidRDefault="000C53C2" w:rsidP="000C53C2">
      <w:pPr>
        <w:spacing w:line="480" w:lineRule="auto"/>
        <w:ind w:left="432" w:hanging="432"/>
      </w:pPr>
      <w:r w:rsidRPr="003956D0">
        <w:t xml:space="preserve">Letourneau, E. J., Levenson, J. S., Bandyopadhyay, D., Sinha, D., &amp; Armstrong, K. S. (2010). Effects of </w:t>
      </w:r>
      <w:r w:rsidR="00211E70" w:rsidRPr="003956D0">
        <w:t>South C</w:t>
      </w:r>
      <w:r w:rsidRPr="003956D0">
        <w:t xml:space="preserve">arolina's sex offender registration and notification policy on adult recidivism. </w:t>
      </w:r>
      <w:r w:rsidRPr="003956D0">
        <w:rPr>
          <w:i/>
        </w:rPr>
        <w:t>Criminal Justice Policy Review, 21</w:t>
      </w:r>
      <w:r w:rsidRPr="003956D0">
        <w:t xml:space="preserve">, 435-458. doi:10.1177/0887403409353148 </w:t>
      </w:r>
    </w:p>
    <w:p w:rsidR="000C53C2" w:rsidRPr="003956D0" w:rsidRDefault="000C53C2" w:rsidP="000C53C2">
      <w:pPr>
        <w:pStyle w:val="CommentText"/>
        <w:spacing w:line="480" w:lineRule="auto"/>
        <w:ind w:left="432" w:hanging="432"/>
        <w:rPr>
          <w:sz w:val="24"/>
          <w:szCs w:val="24"/>
        </w:rPr>
      </w:pPr>
      <w:r w:rsidRPr="003956D0">
        <w:rPr>
          <w:sz w:val="24"/>
          <w:szCs w:val="24"/>
        </w:rPr>
        <w:t xml:space="preserve">Levenson, J. S., Brannon, Y. N., Fortney, T., &amp; Baker, J. (2007). Public perceptions about sex offenders and community protection policies. </w:t>
      </w:r>
      <w:r w:rsidRPr="003956D0">
        <w:rPr>
          <w:i/>
          <w:sz w:val="24"/>
          <w:szCs w:val="24"/>
        </w:rPr>
        <w:t>Analyses of Social Issues and Public Policy, 7</w:t>
      </w:r>
      <w:r w:rsidRPr="003956D0">
        <w:rPr>
          <w:sz w:val="24"/>
          <w:szCs w:val="24"/>
        </w:rPr>
        <w:t xml:space="preserve">, 137-161. doi:10.1111/j.1530-2415.2007.00119.x </w:t>
      </w:r>
    </w:p>
    <w:p w:rsidR="000C53C2" w:rsidRPr="003956D0" w:rsidRDefault="000C53C2" w:rsidP="000C53C2">
      <w:pPr>
        <w:pStyle w:val="CommentText"/>
        <w:spacing w:line="480" w:lineRule="auto"/>
        <w:ind w:left="432" w:hanging="432"/>
        <w:rPr>
          <w:sz w:val="24"/>
          <w:szCs w:val="24"/>
          <w:lang w:val="en-US"/>
        </w:rPr>
      </w:pPr>
      <w:r w:rsidRPr="003956D0">
        <w:rPr>
          <w:sz w:val="24"/>
          <w:szCs w:val="24"/>
          <w:lang w:val="en-US"/>
        </w:rPr>
        <w:t xml:space="preserve">Levenson, J. S., Grady, M. D., &amp; Leibowitz, G. (2016). Grand challenges: Social justice and the need for evidence-based sex offender registry reform. </w:t>
      </w:r>
      <w:r w:rsidRPr="003956D0">
        <w:rPr>
          <w:i/>
          <w:sz w:val="24"/>
          <w:szCs w:val="24"/>
          <w:lang w:val="en-US"/>
        </w:rPr>
        <w:t>Journal of Sociology &amp; Social Welfare, 43</w:t>
      </w:r>
      <w:r w:rsidRPr="003956D0">
        <w:rPr>
          <w:sz w:val="24"/>
          <w:szCs w:val="24"/>
          <w:lang w:val="en-US"/>
        </w:rPr>
        <w:t xml:space="preserve">(2), 3. </w:t>
      </w:r>
    </w:p>
    <w:p w:rsidR="000C53C2" w:rsidRPr="003956D0" w:rsidRDefault="000C53C2" w:rsidP="000C53C2">
      <w:pPr>
        <w:pStyle w:val="StyleLeft0Hanging1"/>
        <w:spacing w:line="480" w:lineRule="auto"/>
        <w:ind w:left="432" w:hanging="432"/>
        <w:rPr>
          <w:rFonts w:ascii="Times New Roman" w:hAnsi="Times New Roman"/>
          <w:snapToGrid/>
          <w:szCs w:val="24"/>
          <w:lang w:val="en-CA" w:eastAsia="en-CA"/>
        </w:rPr>
      </w:pPr>
      <w:r w:rsidRPr="003956D0">
        <w:rPr>
          <w:rFonts w:ascii="Times New Roman" w:hAnsi="Times New Roman"/>
          <w:snapToGrid/>
          <w:szCs w:val="24"/>
          <w:lang w:val="en-CA" w:eastAsia="en-CA"/>
        </w:rPr>
        <w:t xml:space="preserve">Levenson, J. S., &amp; Hern, A. L. (2007). </w:t>
      </w:r>
      <w:r w:rsidR="00211E70">
        <w:rPr>
          <w:rFonts w:ascii="Times New Roman" w:hAnsi="Times New Roman"/>
          <w:snapToGrid/>
          <w:szCs w:val="24"/>
          <w:lang w:val="en-CA" w:eastAsia="en-CA"/>
        </w:rPr>
        <w:t>S</w:t>
      </w:r>
      <w:r w:rsidRPr="003956D0">
        <w:rPr>
          <w:rFonts w:ascii="Times New Roman" w:hAnsi="Times New Roman"/>
          <w:snapToGrid/>
          <w:szCs w:val="24"/>
          <w:lang w:val="en-CA" w:eastAsia="en-CA"/>
        </w:rPr>
        <w:t xml:space="preserve">ex offender residence restrictions: Unintended consequences and community re-entry. </w:t>
      </w:r>
      <w:r w:rsidRPr="003956D0">
        <w:rPr>
          <w:rFonts w:ascii="Times New Roman" w:hAnsi="Times New Roman"/>
          <w:i/>
          <w:snapToGrid/>
          <w:szCs w:val="24"/>
          <w:lang w:val="en-CA" w:eastAsia="en-CA"/>
        </w:rPr>
        <w:t>Justice Research and Policy, 9</w:t>
      </w:r>
      <w:r w:rsidRPr="003956D0">
        <w:rPr>
          <w:rFonts w:ascii="Times New Roman" w:hAnsi="Times New Roman"/>
          <w:snapToGrid/>
          <w:szCs w:val="24"/>
          <w:lang w:val="en-CA" w:eastAsia="en-CA"/>
        </w:rPr>
        <w:t xml:space="preserve">, 59-74. doi:10.3818/JRP.9.1.2007.59 </w:t>
      </w:r>
    </w:p>
    <w:p w:rsidR="000C53C2" w:rsidRPr="003956D0" w:rsidRDefault="000C53C2" w:rsidP="000C53C2">
      <w:pPr>
        <w:pStyle w:val="StyleLeft0Hanging1"/>
        <w:spacing w:line="480" w:lineRule="auto"/>
        <w:ind w:left="432" w:hanging="432"/>
        <w:rPr>
          <w:rFonts w:ascii="Times New Roman" w:hAnsi="Times New Roman"/>
          <w:szCs w:val="24"/>
        </w:rPr>
      </w:pPr>
      <w:r w:rsidRPr="003956D0">
        <w:rPr>
          <w:rFonts w:ascii="Times New Roman" w:hAnsi="Times New Roman"/>
          <w:snapToGrid/>
          <w:szCs w:val="24"/>
        </w:rPr>
        <w:t xml:space="preserve">Lieb, R. (2003). </w:t>
      </w:r>
      <w:r w:rsidRPr="003956D0">
        <w:rPr>
          <w:rFonts w:ascii="Times New Roman" w:hAnsi="Times New Roman"/>
          <w:szCs w:val="24"/>
        </w:rPr>
        <w:t>State policy perspectives on sexual predator laws. In B. J. Winick &amp; J. Q. La Fond (Eds.)</w:t>
      </w:r>
      <w:r w:rsidRPr="003956D0">
        <w:rPr>
          <w:rFonts w:ascii="Times New Roman" w:hAnsi="Times New Roman"/>
          <w:i/>
          <w:szCs w:val="24"/>
        </w:rPr>
        <w:t xml:space="preserve"> Protecting society from sexually dangerous offenders: Law, justice, and therapy</w:t>
      </w:r>
      <w:r w:rsidRPr="003956D0">
        <w:rPr>
          <w:rFonts w:ascii="Times New Roman" w:hAnsi="Times New Roman"/>
          <w:szCs w:val="24"/>
        </w:rPr>
        <w:t xml:space="preserve"> (pp.</w:t>
      </w:r>
      <w:r w:rsidR="00206EB2">
        <w:rPr>
          <w:rFonts w:ascii="Times New Roman" w:hAnsi="Times New Roman"/>
          <w:szCs w:val="24"/>
        </w:rPr>
        <w:t xml:space="preserve"> 41-59</w:t>
      </w:r>
      <w:r w:rsidRPr="003956D0">
        <w:rPr>
          <w:rFonts w:ascii="Times New Roman" w:hAnsi="Times New Roman"/>
          <w:szCs w:val="24"/>
        </w:rPr>
        <w:t xml:space="preserve">). Washington, DC: American Psychological Association. </w:t>
      </w:r>
    </w:p>
    <w:p w:rsidR="000C53C2" w:rsidRPr="003956D0" w:rsidRDefault="000C53C2" w:rsidP="000C53C2">
      <w:pPr>
        <w:spacing w:line="480" w:lineRule="auto"/>
        <w:ind w:left="432" w:hanging="432"/>
        <w:rPr>
          <w:color w:val="222222"/>
        </w:rPr>
      </w:pPr>
      <w:r w:rsidRPr="003956D0">
        <w:rPr>
          <w:color w:val="222222"/>
        </w:rPr>
        <w:t xml:space="preserve">Logan, W. A. (2009). </w:t>
      </w:r>
      <w:r w:rsidRPr="003956D0">
        <w:rPr>
          <w:i/>
          <w:color w:val="222222"/>
        </w:rPr>
        <w:t>Knowledge as power: Criminal registration and community notification laws in America</w:t>
      </w:r>
      <w:r w:rsidRPr="003956D0">
        <w:rPr>
          <w:color w:val="222222"/>
        </w:rPr>
        <w:t>. Redwood City, CA:  Stanford University Press.</w:t>
      </w:r>
    </w:p>
    <w:p w:rsidR="000C53C2" w:rsidRPr="003956D0" w:rsidRDefault="000C53C2" w:rsidP="000C53C2">
      <w:pPr>
        <w:pStyle w:val="Reference"/>
        <w:numPr>
          <w:ilvl w:val="0"/>
          <w:numId w:val="0"/>
        </w:numPr>
        <w:spacing w:before="0" w:line="480" w:lineRule="auto"/>
        <w:ind w:left="432" w:hanging="432"/>
        <w:rPr>
          <w:color w:val="222222"/>
          <w:szCs w:val="24"/>
          <w:lang w:val="en-CA" w:eastAsia="en-CA"/>
        </w:rPr>
      </w:pPr>
      <w:r w:rsidRPr="003956D0">
        <w:rPr>
          <w:color w:val="222222"/>
          <w:szCs w:val="24"/>
          <w:lang w:val="en-CA" w:eastAsia="en-CA"/>
        </w:rPr>
        <w:t xml:space="preserve">Lynch, M. (2002). Pedophiles and cyber-predators as contaminating forces: The language of disgust, pollution, and boundary invasions in federal debates on sex offender legislation. </w:t>
      </w:r>
      <w:r w:rsidRPr="003956D0">
        <w:rPr>
          <w:i/>
          <w:color w:val="222222"/>
          <w:szCs w:val="24"/>
          <w:lang w:val="en-CA" w:eastAsia="en-CA"/>
        </w:rPr>
        <w:t>Law &amp; Social Inquiry, 27</w:t>
      </w:r>
      <w:r w:rsidRPr="003956D0">
        <w:rPr>
          <w:color w:val="222222"/>
          <w:szCs w:val="24"/>
          <w:lang w:val="en-CA" w:eastAsia="en-CA"/>
        </w:rPr>
        <w:t>, 529-566. doi:10.1111/j.1747-4469.2002.tb00814.x</w:t>
      </w:r>
    </w:p>
    <w:p w:rsidR="000C53C2" w:rsidRPr="003956D0" w:rsidRDefault="000C53C2" w:rsidP="000C53C2">
      <w:pPr>
        <w:spacing w:line="480" w:lineRule="auto"/>
        <w:ind w:left="432" w:hanging="432"/>
        <w:rPr>
          <w:lang w:val="en-GB" w:eastAsia="en-US"/>
        </w:rPr>
      </w:pPr>
      <w:r w:rsidRPr="003956D0">
        <w:rPr>
          <w:lang w:val="en-GB" w:eastAsia="en-US"/>
        </w:rPr>
        <w:t xml:space="preserve">Maniglio, R. (2009). The impact of child sexual abuse on health: A systematic review of reviews. </w:t>
      </w:r>
      <w:r w:rsidRPr="003956D0">
        <w:rPr>
          <w:i/>
          <w:lang w:val="en-GB" w:eastAsia="en-US"/>
        </w:rPr>
        <w:t>Clinical Psychology Review, 29</w:t>
      </w:r>
      <w:r w:rsidRPr="003956D0">
        <w:rPr>
          <w:lang w:val="en-GB" w:eastAsia="en-US"/>
        </w:rPr>
        <w:t xml:space="preserve">, 647-657. doi:10.1016/j.cpr.2009.08.003 </w:t>
      </w:r>
    </w:p>
    <w:p w:rsidR="000C53C2" w:rsidRPr="003956D0" w:rsidRDefault="000C53C2" w:rsidP="000C53C2">
      <w:pPr>
        <w:spacing w:line="480" w:lineRule="auto"/>
        <w:ind w:left="432" w:hanging="432"/>
      </w:pPr>
      <w:r w:rsidRPr="003956D0">
        <w:t xml:space="preserve">McGrath, R. J., Cumming, G. F., Burchard, B. L., Zeoli, S. &amp; Ellerby, L. (2010). </w:t>
      </w:r>
      <w:r w:rsidRPr="003956D0">
        <w:rPr>
          <w:bCs/>
          <w:i/>
          <w:iCs/>
        </w:rPr>
        <w:t>Current practices and emerging trends in sexual abuser management: The Safer Society 2009 North American Survey</w:t>
      </w:r>
      <w:r w:rsidRPr="003956D0">
        <w:rPr>
          <w:bCs/>
        </w:rPr>
        <w:t>.</w:t>
      </w:r>
      <w:r w:rsidRPr="003956D0">
        <w:rPr>
          <w:b/>
          <w:bCs/>
        </w:rPr>
        <w:t xml:space="preserve"> </w:t>
      </w:r>
      <w:r w:rsidRPr="003956D0">
        <w:t>Brandon, VT: Safer Society Press.</w:t>
      </w:r>
    </w:p>
    <w:p w:rsidR="000C53C2" w:rsidRPr="003956D0" w:rsidRDefault="000C53C2" w:rsidP="005D34C8">
      <w:pPr>
        <w:pStyle w:val="Reference"/>
        <w:numPr>
          <w:ilvl w:val="0"/>
          <w:numId w:val="0"/>
        </w:numPr>
        <w:spacing w:before="0" w:line="480" w:lineRule="auto"/>
        <w:ind w:left="432" w:hanging="432"/>
        <w:rPr>
          <w:color w:val="222222"/>
          <w:szCs w:val="24"/>
          <w:lang w:val="en-CA" w:eastAsia="en-CA"/>
        </w:rPr>
      </w:pPr>
      <w:r w:rsidRPr="003956D0">
        <w:rPr>
          <w:color w:val="222222"/>
          <w:szCs w:val="24"/>
          <w:lang w:val="en-CA" w:eastAsia="en-CA"/>
        </w:rPr>
        <w:t xml:space="preserve">McGrath, R. J., Lasher, M. P., &amp; Cumming, G. F. (2012). The </w:t>
      </w:r>
      <w:r w:rsidR="00211E70" w:rsidRPr="003956D0">
        <w:rPr>
          <w:color w:val="222222"/>
          <w:szCs w:val="24"/>
          <w:lang w:val="en-CA" w:eastAsia="en-CA"/>
        </w:rPr>
        <w:t xml:space="preserve">Sex Offender Treatment Intervention </w:t>
      </w:r>
      <w:r w:rsidR="00211E70">
        <w:rPr>
          <w:color w:val="222222"/>
          <w:szCs w:val="24"/>
          <w:lang w:val="en-CA" w:eastAsia="en-CA"/>
        </w:rPr>
        <w:t>a</w:t>
      </w:r>
      <w:r w:rsidR="00211E70" w:rsidRPr="003956D0">
        <w:rPr>
          <w:color w:val="222222"/>
          <w:szCs w:val="24"/>
          <w:lang w:val="en-CA" w:eastAsia="en-CA"/>
        </w:rPr>
        <w:t>nd Progress Scale (</w:t>
      </w:r>
      <w:r w:rsidRPr="003956D0">
        <w:rPr>
          <w:color w:val="222222"/>
          <w:szCs w:val="24"/>
          <w:lang w:val="en-CA" w:eastAsia="en-CA"/>
        </w:rPr>
        <w:t xml:space="preserve">SOTIPS): Psychometric properties and incremental predictive validity with </w:t>
      </w:r>
      <w:r w:rsidR="00211E70">
        <w:rPr>
          <w:color w:val="222222"/>
          <w:szCs w:val="24"/>
          <w:lang w:val="en-CA" w:eastAsia="en-CA"/>
        </w:rPr>
        <w:t>S</w:t>
      </w:r>
      <w:r w:rsidRPr="003956D0">
        <w:rPr>
          <w:color w:val="222222"/>
          <w:szCs w:val="24"/>
          <w:lang w:val="en-CA" w:eastAsia="en-CA"/>
        </w:rPr>
        <w:t xml:space="preserve">tatic-99R. </w:t>
      </w:r>
      <w:r w:rsidRPr="003956D0">
        <w:rPr>
          <w:i/>
          <w:color w:val="222222"/>
          <w:szCs w:val="24"/>
          <w:lang w:val="en-CA" w:eastAsia="en-CA"/>
        </w:rPr>
        <w:t>Sexual Abuse: A Journal of Research and Treatment, 24</w:t>
      </w:r>
      <w:r w:rsidRPr="003956D0">
        <w:rPr>
          <w:color w:val="222222"/>
          <w:szCs w:val="24"/>
          <w:lang w:val="en-CA" w:eastAsia="en-CA"/>
        </w:rPr>
        <w:t xml:space="preserve">, 431-458. doi:10.1177/1079063211432475 </w:t>
      </w:r>
    </w:p>
    <w:p w:rsidR="000C53C2" w:rsidRPr="003956D0" w:rsidRDefault="000C53C2" w:rsidP="005D34C8">
      <w:pPr>
        <w:pStyle w:val="Reference"/>
        <w:numPr>
          <w:ilvl w:val="0"/>
          <w:numId w:val="0"/>
        </w:numPr>
        <w:spacing w:before="0" w:line="480" w:lineRule="auto"/>
        <w:ind w:left="346" w:hanging="432"/>
        <w:rPr>
          <w:color w:val="222222"/>
          <w:szCs w:val="24"/>
          <w:lang w:val="en-US"/>
        </w:rPr>
      </w:pPr>
      <w:r w:rsidRPr="003956D0">
        <w:rPr>
          <w:color w:val="222222"/>
          <w:szCs w:val="24"/>
          <w:lang w:val="en-US"/>
        </w:rPr>
        <w:t>Mears, D. P., Mancini, C., Gertz, M., &amp; Bratton, J. (2008). Sex crimes, children, and pornography: Public views and public policy.</w:t>
      </w:r>
      <w:r w:rsidRPr="003956D0">
        <w:rPr>
          <w:i/>
          <w:iCs/>
          <w:color w:val="222222"/>
          <w:szCs w:val="24"/>
          <w:lang w:val="en-US"/>
        </w:rPr>
        <w:t> Crime &amp; Delinquency, 54</w:t>
      </w:r>
      <w:r w:rsidRPr="003956D0">
        <w:rPr>
          <w:color w:val="222222"/>
          <w:szCs w:val="24"/>
          <w:lang w:val="en-US"/>
        </w:rPr>
        <w:t>, 532-559. doi:10.1177/0011128707308160</w:t>
      </w:r>
    </w:p>
    <w:p w:rsidR="000C53C2" w:rsidRPr="003956D0" w:rsidRDefault="000C53C2" w:rsidP="005D34C8">
      <w:pPr>
        <w:pStyle w:val="Reference"/>
        <w:numPr>
          <w:ilvl w:val="0"/>
          <w:numId w:val="0"/>
        </w:numPr>
        <w:spacing w:before="0" w:line="480" w:lineRule="auto"/>
        <w:ind w:left="432" w:hanging="432"/>
        <w:rPr>
          <w:szCs w:val="24"/>
        </w:rPr>
      </w:pPr>
      <w:r w:rsidRPr="003956D0">
        <w:rPr>
          <w:color w:val="222222"/>
          <w:szCs w:val="24"/>
          <w:lang w:val="en-CA"/>
        </w:rPr>
        <w:t xml:space="preserve"> </w:t>
      </w:r>
      <w:r w:rsidRPr="003956D0">
        <w:rPr>
          <w:szCs w:val="24"/>
          <w:lang w:val="en-CA"/>
        </w:rPr>
        <w:t xml:space="preserve">Meloy, M. L., Miller, S. L., &amp; Curtis, K. M. (2008). Making sense out of nonsense: The deconstruction of state-level sex offender residence restrictions. </w:t>
      </w:r>
      <w:r w:rsidRPr="003956D0">
        <w:rPr>
          <w:i/>
          <w:szCs w:val="24"/>
          <w:lang w:val="en-CA"/>
        </w:rPr>
        <w:t>American Journal of Criminal Justice, 33</w:t>
      </w:r>
      <w:r w:rsidRPr="003956D0">
        <w:rPr>
          <w:szCs w:val="24"/>
          <w:lang w:val="en-CA"/>
        </w:rPr>
        <w:t>, 209-222. doi:10.1007/s12103-008-9042-2</w:t>
      </w:r>
    </w:p>
    <w:p w:rsidR="000C53C2" w:rsidRPr="003956D0" w:rsidRDefault="000C53C2" w:rsidP="000C53C2">
      <w:pPr>
        <w:pStyle w:val="Reference"/>
        <w:numPr>
          <w:ilvl w:val="0"/>
          <w:numId w:val="0"/>
        </w:numPr>
        <w:spacing w:before="0" w:line="480" w:lineRule="auto"/>
        <w:ind w:left="432" w:hanging="432"/>
        <w:rPr>
          <w:szCs w:val="24"/>
        </w:rPr>
      </w:pPr>
      <w:r w:rsidRPr="003956D0">
        <w:rPr>
          <w:szCs w:val="24"/>
        </w:rPr>
        <w:t xml:space="preserve">Minnesota Department of Corrections. (2007). </w:t>
      </w:r>
      <w:r w:rsidRPr="003956D0">
        <w:rPr>
          <w:i/>
          <w:szCs w:val="24"/>
        </w:rPr>
        <w:t xml:space="preserve">Sex offender recidivism in Minnesota: April, 2007. </w:t>
      </w:r>
      <w:r w:rsidRPr="003956D0">
        <w:rPr>
          <w:szCs w:val="24"/>
        </w:rPr>
        <w:t xml:space="preserve">St. Paul, MN: Author. Retrieved from </w:t>
      </w:r>
      <w:r w:rsidRPr="00240B72">
        <w:rPr>
          <w:szCs w:val="24"/>
        </w:rPr>
        <w:t>http://www.doc.state.mn.us/PAGES/index.php/about/reports-and-publications/publications/sex-offender/</w:t>
      </w:r>
    </w:p>
    <w:p w:rsidR="000C53C2" w:rsidRPr="003956D0" w:rsidRDefault="000C53C2" w:rsidP="000C53C2">
      <w:pPr>
        <w:pStyle w:val="Reference"/>
        <w:numPr>
          <w:ilvl w:val="0"/>
          <w:numId w:val="0"/>
        </w:numPr>
        <w:spacing w:before="0" w:line="480" w:lineRule="auto"/>
        <w:ind w:left="432" w:hanging="432"/>
        <w:rPr>
          <w:szCs w:val="24"/>
        </w:rPr>
      </w:pPr>
      <w:r w:rsidRPr="003956D0">
        <w:rPr>
          <w:color w:val="222222"/>
          <w:szCs w:val="24"/>
          <w:lang w:val="en-US"/>
        </w:rPr>
        <w:t>Mishra, S., &amp; Lalumière, M. (2009). Is the crime drop of the 1990s in Canada and the USA associated with a general decline in risky and health-related behavior?</w:t>
      </w:r>
      <w:r w:rsidRPr="003956D0">
        <w:rPr>
          <w:i/>
          <w:iCs/>
          <w:color w:val="222222"/>
          <w:szCs w:val="24"/>
          <w:lang w:val="en-US"/>
        </w:rPr>
        <w:t> Social Science &amp; Medicine, 68</w:t>
      </w:r>
      <w:r w:rsidRPr="003956D0">
        <w:rPr>
          <w:color w:val="222222"/>
          <w:szCs w:val="24"/>
          <w:lang w:val="en-US"/>
        </w:rPr>
        <w:t>, 39-48. doi:10.1016/j.socscimed.2008.09.060</w:t>
      </w:r>
    </w:p>
    <w:p w:rsidR="000C53C2" w:rsidRPr="003956D0" w:rsidRDefault="000C53C2" w:rsidP="000C53C2">
      <w:pPr>
        <w:pStyle w:val="CommentText"/>
        <w:spacing w:line="480" w:lineRule="auto"/>
        <w:ind w:left="432" w:hanging="432"/>
        <w:rPr>
          <w:sz w:val="24"/>
          <w:szCs w:val="24"/>
        </w:rPr>
      </w:pPr>
      <w:r w:rsidRPr="003956D0">
        <w:rPr>
          <w:color w:val="222222"/>
          <w:sz w:val="24"/>
          <w:szCs w:val="24"/>
        </w:rPr>
        <w:t xml:space="preserve"> </w:t>
      </w:r>
      <w:r w:rsidRPr="003956D0">
        <w:rPr>
          <w:sz w:val="24"/>
          <w:szCs w:val="24"/>
        </w:rPr>
        <w:t xml:space="preserve">Mustaine, E. E. (2014). Sex offender residency restrictions: Successful integration or exclusion? </w:t>
      </w:r>
      <w:r w:rsidRPr="003956D0">
        <w:rPr>
          <w:i/>
          <w:sz w:val="24"/>
          <w:szCs w:val="24"/>
        </w:rPr>
        <w:t>Criminology &amp; Public Policy, 13</w:t>
      </w:r>
      <w:r w:rsidRPr="003956D0">
        <w:rPr>
          <w:sz w:val="24"/>
          <w:szCs w:val="24"/>
        </w:rPr>
        <w:t>, 169-177. doi:10.1111/1745-9133.12076</w:t>
      </w:r>
    </w:p>
    <w:p w:rsidR="000C53C2" w:rsidRPr="003956D0" w:rsidRDefault="000C53C2" w:rsidP="000C53C2">
      <w:pPr>
        <w:pStyle w:val="CommentText"/>
        <w:spacing w:line="480" w:lineRule="auto"/>
        <w:ind w:left="432" w:hanging="432"/>
        <w:rPr>
          <w:color w:val="000000"/>
          <w:sz w:val="24"/>
          <w:szCs w:val="24"/>
        </w:rPr>
      </w:pPr>
      <w:r w:rsidRPr="003956D0">
        <w:rPr>
          <w:sz w:val="24"/>
          <w:szCs w:val="24"/>
        </w:rPr>
        <w:t xml:space="preserve">Nakamura, K., &amp; Blumstein, A. (2015). Potential for redemption for sex offenders. </w:t>
      </w:r>
      <w:r w:rsidRPr="003956D0">
        <w:rPr>
          <w:color w:val="000000"/>
          <w:sz w:val="24"/>
          <w:szCs w:val="24"/>
        </w:rPr>
        <w:t xml:space="preserve">In A. Blokland </w:t>
      </w:r>
      <w:r w:rsidR="00211E70">
        <w:rPr>
          <w:color w:val="000000"/>
          <w:sz w:val="24"/>
          <w:szCs w:val="24"/>
        </w:rPr>
        <w:t>&amp;</w:t>
      </w:r>
      <w:r w:rsidRPr="003956D0">
        <w:rPr>
          <w:color w:val="000000"/>
          <w:sz w:val="24"/>
          <w:szCs w:val="24"/>
        </w:rPr>
        <w:t xml:space="preserve"> P. Lussier</w:t>
      </w:r>
      <w:r w:rsidR="00211E70">
        <w:rPr>
          <w:color w:val="000000"/>
          <w:sz w:val="24"/>
          <w:szCs w:val="24"/>
        </w:rPr>
        <w:t xml:space="preserve"> (eds.),</w:t>
      </w:r>
      <w:r w:rsidRPr="003956D0">
        <w:rPr>
          <w:i/>
          <w:color w:val="000000"/>
          <w:sz w:val="24"/>
          <w:szCs w:val="24"/>
        </w:rPr>
        <w:t xml:space="preserve"> Sex offenders: A criminal career approach </w:t>
      </w:r>
      <w:r w:rsidRPr="003956D0">
        <w:rPr>
          <w:color w:val="000000"/>
          <w:sz w:val="24"/>
          <w:szCs w:val="24"/>
        </w:rPr>
        <w:t xml:space="preserve">(pp. </w:t>
      </w:r>
      <w:r w:rsidR="00206EB2">
        <w:rPr>
          <w:color w:val="000000"/>
          <w:sz w:val="24"/>
          <w:szCs w:val="24"/>
        </w:rPr>
        <w:t>373-404</w:t>
      </w:r>
      <w:r w:rsidRPr="003956D0">
        <w:rPr>
          <w:color w:val="000000"/>
          <w:sz w:val="24"/>
          <w:szCs w:val="24"/>
        </w:rPr>
        <w:t>). Chichester, UK: Wiley.</w:t>
      </w:r>
    </w:p>
    <w:p w:rsidR="000C53C2" w:rsidRPr="003956D0" w:rsidRDefault="000C53C2" w:rsidP="000C53C2">
      <w:pPr>
        <w:pStyle w:val="Reference"/>
        <w:numPr>
          <w:ilvl w:val="0"/>
          <w:numId w:val="0"/>
        </w:numPr>
        <w:spacing w:before="0" w:line="480" w:lineRule="auto"/>
        <w:ind w:left="432" w:hanging="432"/>
        <w:rPr>
          <w:szCs w:val="24"/>
          <w:lang w:val="en-CA"/>
        </w:rPr>
      </w:pPr>
      <w:r w:rsidRPr="003956D0">
        <w:rPr>
          <w:szCs w:val="24"/>
          <w:lang w:val="en-CA"/>
        </w:rPr>
        <w:t xml:space="preserve">Neal, T. M. S., &amp; Grisso, T. (2014). Assessment practices and expert judgment methods in forensic psychology and psychiatry: An international snapshot. </w:t>
      </w:r>
      <w:r w:rsidRPr="003956D0">
        <w:rPr>
          <w:i/>
          <w:szCs w:val="24"/>
          <w:lang w:val="en-CA"/>
        </w:rPr>
        <w:t>Criminal Justice and Behavior, 41</w:t>
      </w:r>
      <w:r w:rsidRPr="003956D0">
        <w:rPr>
          <w:szCs w:val="24"/>
          <w:lang w:val="en-CA"/>
        </w:rPr>
        <w:t xml:space="preserve">, 1406-1421. doi:10.1177/0093854814548449 </w:t>
      </w:r>
    </w:p>
    <w:p w:rsidR="000C53C2" w:rsidRPr="003956D0" w:rsidRDefault="000C53C2" w:rsidP="000C53C2">
      <w:pPr>
        <w:spacing w:line="480" w:lineRule="auto"/>
        <w:ind w:left="432" w:hanging="432"/>
        <w:rPr>
          <w:lang w:val="en-GB" w:eastAsia="en-US"/>
        </w:rPr>
      </w:pPr>
      <w:r w:rsidRPr="003956D0">
        <w:rPr>
          <w:lang w:val="en-GB" w:eastAsia="en-US"/>
        </w:rPr>
        <w:t xml:space="preserve">Nelson, E. C., Heath, A. C., Madden, P. A. F., Cooper, M. L., Dinwiddie, S. H., Bucholz, K. K., . . . Martin, N. G. (2002). Association between self-reported childhood sexual abuse and adverse psychosocial outcomes: Results from a twin study. </w:t>
      </w:r>
      <w:r w:rsidRPr="003956D0">
        <w:rPr>
          <w:i/>
          <w:lang w:val="en-GB" w:eastAsia="en-US"/>
        </w:rPr>
        <w:t>Archives of General Psychiatry, 59</w:t>
      </w:r>
      <w:r w:rsidRPr="003956D0">
        <w:rPr>
          <w:lang w:val="en-GB" w:eastAsia="en-US"/>
        </w:rPr>
        <w:t xml:space="preserve">, 139-145. doi:10.1001/archpsyc.59.2.139 </w:t>
      </w:r>
    </w:p>
    <w:p w:rsidR="000C53C2" w:rsidRPr="003956D0" w:rsidRDefault="000C53C2" w:rsidP="000C53C2">
      <w:pPr>
        <w:spacing w:line="480" w:lineRule="auto"/>
        <w:ind w:left="432" w:hanging="432"/>
        <w:rPr>
          <w:bCs/>
        </w:rPr>
      </w:pPr>
      <w:r w:rsidRPr="003956D0">
        <w:rPr>
          <w:bCs/>
        </w:rPr>
        <w:t xml:space="preserve">*Nicholaichuk, T. (2001, November). </w:t>
      </w:r>
      <w:r w:rsidRPr="003956D0">
        <w:rPr>
          <w:bCs/>
          <w:i/>
          <w:iCs/>
        </w:rPr>
        <w:t>The comparison of two standardized risk assessment instruments in a sample of Canadian Aboriginal sexual offenders.</w:t>
      </w:r>
      <w:r w:rsidRPr="003956D0">
        <w:rPr>
          <w:bCs/>
        </w:rPr>
        <w:t xml:space="preserve"> Paper presented at the annual Research and Treatment Conference of the Association for the Treatment of Sexual Abusers, San Antonio, TX. </w:t>
      </w:r>
    </w:p>
    <w:p w:rsidR="000C53C2" w:rsidRPr="003956D0" w:rsidRDefault="000C53C2" w:rsidP="000C53C2">
      <w:pPr>
        <w:spacing w:line="480" w:lineRule="auto"/>
        <w:ind w:left="432" w:hanging="432"/>
        <w:rPr>
          <w:bCs/>
        </w:rPr>
      </w:pPr>
      <w:r w:rsidRPr="003956D0">
        <w:rPr>
          <w:color w:val="222222"/>
        </w:rPr>
        <w:t xml:space="preserve">Olver, M. E., Sowden, J. N., Kingston, D. A., Nicholaichuk, T. P., Gordon, A., Beggs Christofferson, S. M., &amp; Wong, S. C. (2016). Predictive accuracy of Violence Risk Scale–Sexual Offender Version risk and change scores in treated Canadian Aboriginal and non-Aboriginal sexual offenders. </w:t>
      </w:r>
      <w:r w:rsidRPr="003956D0">
        <w:rPr>
          <w:i/>
          <w:iCs/>
          <w:color w:val="222222"/>
        </w:rPr>
        <w:t xml:space="preserve">Sexual Abuse: A Journal of Research and Treatment. </w:t>
      </w:r>
      <w:r w:rsidRPr="003956D0">
        <w:rPr>
          <w:iCs/>
          <w:color w:val="222222"/>
        </w:rPr>
        <w:t xml:space="preserve">Advanced Online Publication. </w:t>
      </w:r>
      <w:r w:rsidRPr="003956D0">
        <w:rPr>
          <w:rStyle w:val="slug-metadata-note3"/>
          <w:bCs/>
          <w:color w:val="333300"/>
          <w:specVanish w:val="0"/>
        </w:rPr>
        <w:t>doi:1</w:t>
      </w:r>
      <w:r w:rsidRPr="003956D0">
        <w:rPr>
          <w:rStyle w:val="slug-doi"/>
          <w:bCs/>
          <w:color w:val="333300"/>
        </w:rPr>
        <w:t xml:space="preserve">0.1177/1079063216649594. </w:t>
      </w:r>
    </w:p>
    <w:p w:rsidR="000C53C2" w:rsidRPr="003956D0" w:rsidRDefault="000C53C2" w:rsidP="000C53C2">
      <w:pPr>
        <w:pStyle w:val="Reference"/>
        <w:numPr>
          <w:ilvl w:val="0"/>
          <w:numId w:val="0"/>
        </w:numPr>
        <w:spacing w:before="0" w:line="480" w:lineRule="auto"/>
        <w:ind w:left="432" w:hanging="432"/>
        <w:rPr>
          <w:color w:val="222222"/>
          <w:szCs w:val="24"/>
        </w:rPr>
      </w:pPr>
      <w:r w:rsidRPr="003956D0">
        <w:rPr>
          <w:szCs w:val="24"/>
          <w:lang w:val="en-CA"/>
        </w:rPr>
        <w:t xml:space="preserve">Paras, M. L., Murad, M. H., Chen, L. P., Goranson, E. N., Sattler, A. L., Colbenson, K. M., . . . Zirakzadeh, A. (2009). Sexual abuse and lifetime diagnosis of somatic disorders: A systematic review and meta-analysis. </w:t>
      </w:r>
      <w:r w:rsidRPr="003956D0">
        <w:rPr>
          <w:i/>
          <w:iCs/>
          <w:szCs w:val="24"/>
        </w:rPr>
        <w:t>Journal of the American Medical Association</w:t>
      </w:r>
      <w:r w:rsidRPr="003956D0">
        <w:rPr>
          <w:szCs w:val="24"/>
          <w:lang w:val="en-CA"/>
        </w:rPr>
        <w:t>, 302, 550-561. doi:10.1001/jama.2009.1091</w:t>
      </w:r>
      <w:r w:rsidRPr="003956D0">
        <w:rPr>
          <w:szCs w:val="24"/>
        </w:rPr>
        <w:t>.</w:t>
      </w:r>
      <w:r w:rsidRPr="003956D0">
        <w:rPr>
          <w:i/>
          <w:iCs/>
          <w:szCs w:val="24"/>
        </w:rPr>
        <w:t xml:space="preserve"> </w:t>
      </w:r>
    </w:p>
    <w:p w:rsidR="000C53C2" w:rsidRPr="003956D0" w:rsidRDefault="000C53C2" w:rsidP="000C53C2">
      <w:pPr>
        <w:tabs>
          <w:tab w:val="left" w:pos="0"/>
          <w:tab w:val="left" w:pos="720"/>
          <w:tab w:val="left" w:pos="1008"/>
          <w:tab w:val="left" w:pos="1440"/>
        </w:tabs>
        <w:spacing w:line="480" w:lineRule="auto"/>
        <w:ind w:left="432" w:hanging="432"/>
        <w:rPr>
          <w:lang w:val="en-US" w:eastAsia="en-US"/>
        </w:rPr>
      </w:pPr>
      <w:r w:rsidRPr="003956D0">
        <w:rPr>
          <w:lang w:val="en-US" w:eastAsia="en-US"/>
        </w:rPr>
        <w:t xml:space="preserve">Pereda, N., Guilera, G., Forns, M., &amp; Gómez-Benito, J. (2009). The prevalence of child sexual abuse in community and student samples: A meta-analysis. </w:t>
      </w:r>
      <w:r w:rsidRPr="003956D0">
        <w:rPr>
          <w:i/>
          <w:lang w:val="en-US" w:eastAsia="en-US"/>
        </w:rPr>
        <w:t>Clinical Psychology Review, 29</w:t>
      </w:r>
      <w:r w:rsidRPr="003956D0">
        <w:rPr>
          <w:lang w:val="en-US" w:eastAsia="en-US"/>
        </w:rPr>
        <w:t xml:space="preserve">, 328-338. doi:10.1016/j.cpr.2009.02.007 </w:t>
      </w:r>
    </w:p>
    <w:p w:rsidR="000C53C2" w:rsidRPr="003956D0" w:rsidRDefault="000C53C2" w:rsidP="000C53C2">
      <w:pPr>
        <w:tabs>
          <w:tab w:val="left" w:pos="0"/>
          <w:tab w:val="left" w:pos="720"/>
          <w:tab w:val="left" w:pos="1008"/>
          <w:tab w:val="left" w:pos="1440"/>
        </w:tabs>
        <w:spacing w:line="480" w:lineRule="auto"/>
        <w:ind w:left="432" w:hanging="432"/>
        <w:rPr>
          <w:color w:val="000000"/>
          <w:lang w:val="en-GB"/>
        </w:rPr>
      </w:pPr>
      <w:r w:rsidRPr="003956D0">
        <w:rPr>
          <w:color w:val="000000"/>
          <w:lang w:val="en-GB"/>
        </w:rPr>
        <w:t xml:space="preserve">Petrunik, M., &amp; Weisman, R. (2005). Constructing </w:t>
      </w:r>
      <w:r w:rsidR="00755860">
        <w:rPr>
          <w:color w:val="000000"/>
          <w:lang w:val="en-GB"/>
        </w:rPr>
        <w:t>J</w:t>
      </w:r>
      <w:r w:rsidRPr="003956D0">
        <w:rPr>
          <w:color w:val="000000"/>
          <w:lang w:val="en-GB"/>
        </w:rPr>
        <w:t xml:space="preserve">oseph </w:t>
      </w:r>
      <w:r w:rsidR="00755860">
        <w:rPr>
          <w:color w:val="000000"/>
          <w:lang w:val="en-GB"/>
        </w:rPr>
        <w:t>F</w:t>
      </w:r>
      <w:r w:rsidRPr="003956D0">
        <w:rPr>
          <w:color w:val="000000"/>
          <w:lang w:val="en-GB"/>
        </w:rPr>
        <w:t xml:space="preserve">redericks: Competing narratives of a child sex murderer. </w:t>
      </w:r>
      <w:r w:rsidRPr="003956D0">
        <w:rPr>
          <w:i/>
          <w:color w:val="000000"/>
          <w:lang w:val="en-GB"/>
        </w:rPr>
        <w:t>International Journal of Law and Psychiatry, 28</w:t>
      </w:r>
      <w:r w:rsidRPr="003956D0">
        <w:rPr>
          <w:color w:val="000000"/>
          <w:lang w:val="en-GB"/>
        </w:rPr>
        <w:t xml:space="preserve">, 75-96. doi:10.1016/j.ijlp.2004.12.005 </w:t>
      </w:r>
    </w:p>
    <w:p w:rsidR="000C53C2" w:rsidRPr="003956D0" w:rsidRDefault="000C53C2" w:rsidP="000C53C2">
      <w:pPr>
        <w:tabs>
          <w:tab w:val="left" w:pos="0"/>
          <w:tab w:val="left" w:pos="720"/>
          <w:tab w:val="left" w:pos="1008"/>
          <w:tab w:val="left" w:pos="1440"/>
        </w:tabs>
        <w:spacing w:line="480" w:lineRule="auto"/>
        <w:ind w:left="432" w:hanging="432"/>
        <w:rPr>
          <w:color w:val="000000"/>
          <w:lang w:val="en-GB"/>
        </w:rPr>
      </w:pPr>
      <w:r w:rsidRPr="003956D0">
        <w:rPr>
          <w:color w:val="000000"/>
          <w:lang w:val="en-GB"/>
        </w:rPr>
        <w:t>Phenix, A., &amp; Epperson, D. L. (2016). Overview of the development, reliability, validity, scoring, and uses of the Static-99, Static-99R, Static-2002, and Static-2002R. In A. Phenix &amp; H. M. Hoberman (Eds.)</w:t>
      </w:r>
      <w:r w:rsidRPr="003956D0">
        <w:rPr>
          <w:i/>
          <w:color w:val="000000"/>
          <w:lang w:val="en-GB"/>
        </w:rPr>
        <w:t xml:space="preserve"> Sexual offending: Predisposing conditions, assessment and management</w:t>
      </w:r>
      <w:r w:rsidRPr="003956D0">
        <w:rPr>
          <w:color w:val="000000"/>
          <w:lang w:val="en-GB"/>
        </w:rPr>
        <w:t xml:space="preserve"> (pp. </w:t>
      </w:r>
      <w:r w:rsidR="00206EB2">
        <w:rPr>
          <w:color w:val="000000"/>
          <w:lang w:val="en-GB"/>
        </w:rPr>
        <w:t>437-455</w:t>
      </w:r>
      <w:r w:rsidRPr="003956D0">
        <w:rPr>
          <w:color w:val="000000"/>
          <w:lang w:val="en-GB"/>
        </w:rPr>
        <w:t>). NY: Springer.</w:t>
      </w:r>
    </w:p>
    <w:p w:rsidR="000C53C2" w:rsidRPr="003956D0" w:rsidRDefault="000C53C2" w:rsidP="000C53C2">
      <w:pPr>
        <w:spacing w:line="480" w:lineRule="auto"/>
        <w:ind w:left="432" w:hanging="432"/>
        <w:rPr>
          <w:color w:val="222222"/>
        </w:rPr>
      </w:pPr>
      <w:r w:rsidRPr="003956D0">
        <w:rPr>
          <w:color w:val="222222"/>
        </w:rPr>
        <w:t xml:space="preserve">Prentky, R. A., Lee, A. F. S., Knight, R. A., &amp; Cerce, D. (1997). Recidivism rates among child molesters and rapists: A methodological analysis. </w:t>
      </w:r>
      <w:r w:rsidRPr="003956D0">
        <w:rPr>
          <w:i/>
          <w:color w:val="222222"/>
        </w:rPr>
        <w:t>Law and Human Behavior, 21</w:t>
      </w:r>
      <w:r w:rsidRPr="003956D0">
        <w:rPr>
          <w:color w:val="222222"/>
        </w:rPr>
        <w:t xml:space="preserve">, 635-659. doi:10.1023/A:1024860714738 </w:t>
      </w:r>
    </w:p>
    <w:p w:rsidR="000C53C2" w:rsidRPr="003956D0" w:rsidRDefault="000C53C2" w:rsidP="000C53C2">
      <w:pPr>
        <w:spacing w:line="480" w:lineRule="auto"/>
        <w:ind w:left="432" w:hanging="432"/>
        <w:rPr>
          <w:color w:val="222222"/>
        </w:rPr>
      </w:pPr>
      <w:r w:rsidRPr="003956D0">
        <w:rPr>
          <w:color w:val="222222"/>
        </w:rPr>
        <w:t xml:space="preserve">Raftery, A. E. (1995). Bayesian model selection in social research. </w:t>
      </w:r>
      <w:r w:rsidRPr="003956D0">
        <w:rPr>
          <w:i/>
          <w:color w:val="222222"/>
        </w:rPr>
        <w:t>Sociological Methodology, 25</w:t>
      </w:r>
      <w:r w:rsidRPr="003956D0">
        <w:rPr>
          <w:color w:val="222222"/>
        </w:rPr>
        <w:t xml:space="preserve">, 111-163. </w:t>
      </w:r>
    </w:p>
    <w:p w:rsidR="000C53C2" w:rsidRPr="003956D0" w:rsidRDefault="000C53C2" w:rsidP="000C53C2">
      <w:pPr>
        <w:pStyle w:val="article-doi"/>
        <w:spacing w:before="0" w:beforeAutospacing="0" w:after="0" w:afterAutospacing="0" w:line="480" w:lineRule="auto"/>
        <w:ind w:left="432" w:hanging="432"/>
        <w:rPr>
          <w:color w:val="222222"/>
        </w:rPr>
      </w:pPr>
      <w:r w:rsidRPr="003956D0">
        <w:rPr>
          <w:color w:val="222222"/>
        </w:rPr>
        <w:t xml:space="preserve">Sample, L. L., &amp; Kadleck, C. (2008). Sex offender laws: Legislators' accounts of the need for policy. </w:t>
      </w:r>
      <w:r w:rsidRPr="003956D0">
        <w:rPr>
          <w:i/>
          <w:color w:val="222222"/>
        </w:rPr>
        <w:t>Criminal Justice Policy Review, 19</w:t>
      </w:r>
      <w:r w:rsidRPr="003956D0">
        <w:rPr>
          <w:color w:val="222222"/>
        </w:rPr>
        <w:t xml:space="preserve">, 40-62. doi:10.1177/0887403407308292 </w:t>
      </w:r>
    </w:p>
    <w:p w:rsidR="000C53C2" w:rsidRPr="003956D0" w:rsidRDefault="000C53C2" w:rsidP="000C53C2">
      <w:pPr>
        <w:spacing w:line="480" w:lineRule="auto"/>
        <w:ind w:left="432" w:hanging="432"/>
        <w:rPr>
          <w:color w:val="222222"/>
        </w:rPr>
      </w:pPr>
      <w:r w:rsidRPr="003956D0">
        <w:rPr>
          <w:color w:val="222222"/>
        </w:rPr>
        <w:t xml:space="preserve">Schmucker, M., &amp; Lösel, F. (2015). The effects of sexual offender treatment on recidivism: An international meta-analysis of sound quality evaluations. </w:t>
      </w:r>
      <w:r w:rsidRPr="003956D0">
        <w:rPr>
          <w:i/>
          <w:color w:val="222222"/>
        </w:rPr>
        <w:t>Journal of Experimental Criminology, 11</w:t>
      </w:r>
      <w:r w:rsidRPr="003956D0">
        <w:rPr>
          <w:color w:val="222222"/>
        </w:rPr>
        <w:t xml:space="preserve">, 597-630. doi:10.1007/s11292-015-9241-z </w:t>
      </w:r>
    </w:p>
    <w:p w:rsidR="000C53C2" w:rsidRPr="003956D0" w:rsidRDefault="000C53C2" w:rsidP="000C53C2">
      <w:pPr>
        <w:pStyle w:val="CommentText"/>
        <w:spacing w:line="480" w:lineRule="auto"/>
        <w:ind w:left="432" w:hanging="432"/>
        <w:rPr>
          <w:color w:val="222222"/>
          <w:sz w:val="24"/>
          <w:szCs w:val="24"/>
        </w:rPr>
      </w:pPr>
      <w:r w:rsidRPr="003956D0">
        <w:rPr>
          <w:color w:val="222222"/>
          <w:sz w:val="24"/>
          <w:szCs w:val="24"/>
        </w:rPr>
        <w:t xml:space="preserve">Scoones, C. D., Willis, G. M., &amp; Grace, R. C. (2012). Beyond static and dynamic risk factors: The incremental validity of release planning for predicting sex offender recidivism. </w:t>
      </w:r>
      <w:r w:rsidRPr="003956D0">
        <w:rPr>
          <w:i/>
          <w:color w:val="222222"/>
          <w:sz w:val="24"/>
          <w:szCs w:val="24"/>
        </w:rPr>
        <w:t>Journal of Interpersonal Violence, 27</w:t>
      </w:r>
      <w:r w:rsidRPr="003956D0">
        <w:rPr>
          <w:color w:val="222222"/>
          <w:sz w:val="24"/>
          <w:szCs w:val="24"/>
        </w:rPr>
        <w:t xml:space="preserve">, 222-238. doi:10.1177/0886260511416472 </w:t>
      </w:r>
    </w:p>
    <w:p w:rsidR="000C53C2" w:rsidRPr="00211E70" w:rsidRDefault="000C53C2" w:rsidP="000C53C2">
      <w:pPr>
        <w:pStyle w:val="CommentText"/>
        <w:spacing w:line="480" w:lineRule="auto"/>
        <w:ind w:left="432" w:hanging="432"/>
        <w:rPr>
          <w:sz w:val="24"/>
          <w:szCs w:val="24"/>
        </w:rPr>
      </w:pPr>
      <w:r w:rsidRPr="003956D0">
        <w:rPr>
          <w:sz w:val="24"/>
          <w:szCs w:val="24"/>
        </w:rPr>
        <w:t>Simon, J., &amp; Leon, C. (2008). The third wave: American sex offender policies since the 1990s. In S. G. Shoham, O. Beck, &amp; M. Kett</w:t>
      </w:r>
      <w:r w:rsidR="00211E70">
        <w:rPr>
          <w:sz w:val="24"/>
          <w:szCs w:val="24"/>
        </w:rPr>
        <w:t xml:space="preserve"> (Eds.),</w:t>
      </w:r>
      <w:r w:rsidRPr="003956D0">
        <w:rPr>
          <w:sz w:val="24"/>
          <w:szCs w:val="24"/>
        </w:rPr>
        <w:t xml:space="preserve"> </w:t>
      </w:r>
      <w:r w:rsidRPr="003956D0">
        <w:rPr>
          <w:i/>
          <w:sz w:val="24"/>
          <w:szCs w:val="24"/>
        </w:rPr>
        <w:t xml:space="preserve">International Handbook of Penology and Criminal </w:t>
      </w:r>
      <w:r w:rsidRPr="00211E70">
        <w:rPr>
          <w:i/>
          <w:sz w:val="24"/>
          <w:szCs w:val="24"/>
        </w:rPr>
        <w:t xml:space="preserve">Justice </w:t>
      </w:r>
      <w:r w:rsidRPr="00211E70">
        <w:rPr>
          <w:sz w:val="24"/>
          <w:szCs w:val="24"/>
        </w:rPr>
        <w:t xml:space="preserve">(pp. </w:t>
      </w:r>
      <w:r w:rsidR="00206EB2" w:rsidRPr="00211E70">
        <w:rPr>
          <w:sz w:val="24"/>
          <w:szCs w:val="24"/>
        </w:rPr>
        <w:t>733-754</w:t>
      </w:r>
      <w:r w:rsidRPr="00211E70">
        <w:rPr>
          <w:sz w:val="24"/>
          <w:szCs w:val="24"/>
        </w:rPr>
        <w:t>). Boca Raton, FL: CRC Press.</w:t>
      </w:r>
    </w:p>
    <w:p w:rsidR="000C53C2" w:rsidRPr="00211E70" w:rsidRDefault="000C53C2" w:rsidP="000C53C2">
      <w:pPr>
        <w:spacing w:line="480" w:lineRule="auto"/>
        <w:ind w:left="432" w:hanging="432"/>
        <w:rPr>
          <w:color w:val="222222"/>
        </w:rPr>
      </w:pPr>
      <w:r w:rsidRPr="00211E70">
        <w:rPr>
          <w:color w:val="222222"/>
        </w:rPr>
        <w:t xml:space="preserve">Singer, J. D., &amp; Willett, J. B. (1993). It's about time: Using discrete-time survival analysis to study duration and the timing of events. </w:t>
      </w:r>
      <w:r w:rsidRPr="00211E70">
        <w:rPr>
          <w:i/>
          <w:color w:val="222222"/>
        </w:rPr>
        <w:t>Journal of Educational Statistics, 18</w:t>
      </w:r>
      <w:r w:rsidRPr="00211E70">
        <w:rPr>
          <w:color w:val="222222"/>
        </w:rPr>
        <w:t xml:space="preserve">, 155-195. </w:t>
      </w:r>
      <w:r w:rsidR="00211E70" w:rsidRPr="00211E70">
        <w:rPr>
          <w:color w:val="222222"/>
        </w:rPr>
        <w:t>d</w:t>
      </w:r>
      <w:r w:rsidR="00211E70" w:rsidRPr="00211E70">
        <w:t>oi:10.3102/10769986018002155</w:t>
      </w:r>
    </w:p>
    <w:p w:rsidR="000C53C2" w:rsidRPr="003956D0" w:rsidRDefault="000C53C2" w:rsidP="000C53C2">
      <w:pPr>
        <w:spacing w:line="480" w:lineRule="auto"/>
        <w:ind w:left="432" w:hanging="432"/>
        <w:rPr>
          <w:color w:val="222222"/>
        </w:rPr>
      </w:pPr>
      <w:r w:rsidRPr="00211E70">
        <w:rPr>
          <w:color w:val="222222"/>
        </w:rPr>
        <w:t xml:space="preserve">Singer, J. D., &amp; Willett, J. B. (2003). </w:t>
      </w:r>
      <w:r w:rsidRPr="00211E70">
        <w:rPr>
          <w:i/>
          <w:iCs/>
          <w:color w:val="222222"/>
        </w:rPr>
        <w:t>Applied</w:t>
      </w:r>
      <w:r w:rsidRPr="003956D0">
        <w:rPr>
          <w:i/>
          <w:iCs/>
          <w:color w:val="222222"/>
        </w:rPr>
        <w:t xml:space="preserve"> longitudinal data analysis: Modeling change and event occurrence</w:t>
      </w:r>
      <w:r w:rsidRPr="003956D0">
        <w:rPr>
          <w:color w:val="222222"/>
        </w:rPr>
        <w:t>. Oxford: Oxford University Press.</w:t>
      </w:r>
    </w:p>
    <w:p w:rsidR="000C53C2" w:rsidRPr="003956D0" w:rsidRDefault="000C53C2" w:rsidP="000C53C2">
      <w:pPr>
        <w:spacing w:line="480" w:lineRule="auto"/>
        <w:ind w:left="432" w:hanging="432"/>
        <w:rPr>
          <w:color w:val="222222"/>
        </w:rPr>
      </w:pPr>
      <w:r w:rsidRPr="003956D0">
        <w:rPr>
          <w:i/>
          <w:lang w:val="en-US"/>
        </w:rPr>
        <w:t>Smith v. Doe</w:t>
      </w:r>
      <w:r w:rsidRPr="003956D0">
        <w:rPr>
          <w:lang w:val="en-US"/>
        </w:rPr>
        <w:t>, 538 U.S. 83 (2003).</w:t>
      </w:r>
    </w:p>
    <w:p w:rsidR="000C53C2" w:rsidRPr="003956D0" w:rsidRDefault="000C53C2" w:rsidP="000C53C2">
      <w:pPr>
        <w:spacing w:line="480" w:lineRule="auto"/>
        <w:ind w:left="432" w:hanging="432"/>
      </w:pPr>
      <w:r w:rsidRPr="003956D0">
        <w:t xml:space="preserve">Soothill, K., &amp; Francis, B. (2009). When do ex-offenders become like non-offenders? </w:t>
      </w:r>
      <w:r w:rsidRPr="003956D0">
        <w:rPr>
          <w:i/>
        </w:rPr>
        <w:t>The Howard Journal of Criminal Justice, 48</w:t>
      </w:r>
      <w:r w:rsidRPr="003956D0">
        <w:t>, 373-387. doi:10.1111/j.1468-2311.2009.00576.x</w:t>
      </w:r>
    </w:p>
    <w:p w:rsidR="000C53C2" w:rsidRPr="003956D0" w:rsidRDefault="000C53C2" w:rsidP="000C53C2">
      <w:pPr>
        <w:pStyle w:val="Reference"/>
        <w:numPr>
          <w:ilvl w:val="0"/>
          <w:numId w:val="0"/>
        </w:numPr>
        <w:spacing w:before="0" w:line="480" w:lineRule="auto"/>
        <w:ind w:left="432" w:hanging="432"/>
        <w:rPr>
          <w:color w:val="222222"/>
          <w:szCs w:val="24"/>
          <w:lang w:val="en-CA" w:eastAsia="en-CA"/>
        </w:rPr>
      </w:pPr>
      <w:r w:rsidRPr="003956D0">
        <w:rPr>
          <w:color w:val="222222"/>
          <w:szCs w:val="24"/>
          <w:lang w:val="en-CA" w:eastAsia="en-CA"/>
        </w:rPr>
        <w:t xml:space="preserve">Soothill, K. L., &amp; Gibbens, T. C. N. (1978). Recidivism of sexual offenders: A re-appraisal. </w:t>
      </w:r>
      <w:r w:rsidRPr="003956D0">
        <w:rPr>
          <w:i/>
          <w:color w:val="222222"/>
          <w:szCs w:val="24"/>
          <w:lang w:val="en-CA" w:eastAsia="en-CA"/>
        </w:rPr>
        <w:t>The British Journal of Criminology, 18</w:t>
      </w:r>
      <w:r w:rsidRPr="003956D0">
        <w:rPr>
          <w:color w:val="222222"/>
          <w:szCs w:val="24"/>
          <w:lang w:val="en-CA" w:eastAsia="en-CA"/>
        </w:rPr>
        <w:t>, 267-276. doi:10.1093/oxfordjournals.bjc.a046912</w:t>
      </w:r>
    </w:p>
    <w:p w:rsidR="000C53C2" w:rsidRPr="003956D0" w:rsidRDefault="000C53C2" w:rsidP="000C53C2">
      <w:pPr>
        <w:autoSpaceDE w:val="0"/>
        <w:autoSpaceDN w:val="0"/>
        <w:adjustRightInd w:val="0"/>
        <w:spacing w:line="480" w:lineRule="auto"/>
        <w:ind w:left="432" w:hanging="432"/>
        <w:rPr>
          <w:lang w:val="sv-SE" w:eastAsia="en-US"/>
        </w:rPr>
      </w:pPr>
      <w:r w:rsidRPr="003956D0">
        <w:rPr>
          <w:lang w:val="sv-SE" w:eastAsia="en-US"/>
        </w:rPr>
        <w:t>Stoltenborgh, M., van I</w:t>
      </w:r>
      <w:r w:rsidR="00755860">
        <w:rPr>
          <w:lang w:val="sv-SE" w:eastAsia="en-US"/>
        </w:rPr>
        <w:t>j</w:t>
      </w:r>
      <w:r w:rsidRPr="003956D0">
        <w:rPr>
          <w:lang w:val="sv-SE" w:eastAsia="en-US"/>
        </w:rPr>
        <w:t xml:space="preserve">zendoorn, M. H., Euser, E. M., &amp; Bakermans-Kranenburg, M. J. (2011). A global perspective on child sexual abuse: Meta-analysis of prevalence around the world. </w:t>
      </w:r>
      <w:r w:rsidRPr="003956D0">
        <w:rPr>
          <w:i/>
          <w:lang w:val="sv-SE" w:eastAsia="en-US"/>
        </w:rPr>
        <w:t>Child Maltreatment, 16</w:t>
      </w:r>
      <w:r w:rsidRPr="003956D0">
        <w:rPr>
          <w:lang w:val="sv-SE" w:eastAsia="en-US"/>
        </w:rPr>
        <w:t xml:space="preserve">, 79-101. doi:10.1177/1077559511403920 </w:t>
      </w:r>
    </w:p>
    <w:p w:rsidR="000C53C2" w:rsidRPr="003956D0" w:rsidRDefault="000C53C2" w:rsidP="000C53C2">
      <w:pPr>
        <w:autoSpaceDE w:val="0"/>
        <w:autoSpaceDN w:val="0"/>
        <w:adjustRightInd w:val="0"/>
        <w:spacing w:line="480" w:lineRule="auto"/>
        <w:ind w:left="432" w:hanging="432"/>
      </w:pPr>
      <w:r w:rsidRPr="003956D0">
        <w:t xml:space="preserve">*Romine, S., Rebecca, S., Dwyer, M., Mathiowetz, C., &amp; Thomas, M. (2008, October). </w:t>
      </w:r>
      <w:r w:rsidRPr="003956D0">
        <w:rPr>
          <w:i/>
        </w:rPr>
        <w:t>Thirty years of sex offender specific treatment: A follow-up Study</w:t>
      </w:r>
      <w:r w:rsidRPr="003956D0">
        <w:t xml:space="preserve">. Poster presented at the conference for the Association for the Treatment of Sexual Abusers, Atlanta, GA. </w:t>
      </w:r>
    </w:p>
    <w:p w:rsidR="000C53C2" w:rsidRPr="003956D0" w:rsidRDefault="000C53C2" w:rsidP="000C53C2">
      <w:pPr>
        <w:spacing w:line="480" w:lineRule="auto"/>
        <w:ind w:left="432" w:hanging="432"/>
        <w:rPr>
          <w:color w:val="222222"/>
        </w:rPr>
      </w:pPr>
      <w:r w:rsidRPr="003956D0">
        <w:rPr>
          <w:color w:val="222222"/>
        </w:rPr>
        <w:t xml:space="preserve">Taylor, J. E., &amp; Harvey, S. T. (2010). A meta-analysis of the effects of psychotherapy with adults sexually abused in childhood. </w:t>
      </w:r>
      <w:r w:rsidRPr="003956D0">
        <w:rPr>
          <w:i/>
          <w:color w:val="222222"/>
        </w:rPr>
        <w:t>Clinical Psychology Review, 30</w:t>
      </w:r>
      <w:r w:rsidRPr="003956D0">
        <w:rPr>
          <w:color w:val="222222"/>
        </w:rPr>
        <w:t xml:space="preserve">, 749-767. doi:10.1016/j.cpr.2010.05.008 </w:t>
      </w:r>
    </w:p>
    <w:p w:rsidR="000C53C2" w:rsidRPr="003956D0" w:rsidRDefault="000C53C2" w:rsidP="000C53C2">
      <w:pPr>
        <w:spacing w:line="480" w:lineRule="auto"/>
        <w:ind w:left="432" w:hanging="432"/>
      </w:pPr>
      <w:r w:rsidRPr="003956D0">
        <w:rPr>
          <w:iCs/>
        </w:rPr>
        <w:t xml:space="preserve">*Ternowski, D. R. (2004). </w:t>
      </w:r>
      <w:r w:rsidRPr="003956D0">
        <w:t>Sex offender treatment: An evaluation of the Stave Lake Correctional Centre Program [Doctoral Dissertation].</w:t>
      </w:r>
      <w:r w:rsidRPr="003956D0">
        <w:rPr>
          <w:iCs/>
        </w:rPr>
        <w:t xml:space="preserve"> </w:t>
      </w:r>
      <w:r w:rsidRPr="003956D0">
        <w:rPr>
          <w:i/>
          <w:iCs/>
        </w:rPr>
        <w:t>Dissertations Abstracts International 66</w:t>
      </w:r>
      <w:r w:rsidRPr="003956D0">
        <w:t>(06), 3428B. (UMI No. NR03201).</w:t>
      </w:r>
    </w:p>
    <w:p w:rsidR="000C53C2" w:rsidRPr="003956D0" w:rsidRDefault="000C53C2" w:rsidP="000C53C2">
      <w:pPr>
        <w:spacing w:line="480" w:lineRule="auto"/>
        <w:ind w:left="432" w:hanging="432"/>
        <w:rPr>
          <w:color w:val="222222"/>
        </w:rPr>
      </w:pPr>
      <w:r w:rsidRPr="003956D0">
        <w:rPr>
          <w:color w:val="222222"/>
        </w:rPr>
        <w:t xml:space="preserve">Thornton, D. (2016). Developing a theory of dynamic risk. </w:t>
      </w:r>
      <w:r w:rsidRPr="003956D0">
        <w:rPr>
          <w:i/>
          <w:color w:val="222222"/>
        </w:rPr>
        <w:t>Psychology, Crime &amp; Law, 22</w:t>
      </w:r>
      <w:r w:rsidRPr="003956D0">
        <w:rPr>
          <w:color w:val="222222"/>
        </w:rPr>
        <w:t xml:space="preserve">, 138-150. doi:10.1080/1068316X.2015.1109092 </w:t>
      </w:r>
    </w:p>
    <w:p w:rsidR="000C53C2" w:rsidRPr="003956D0" w:rsidRDefault="000C53C2" w:rsidP="000C53C2">
      <w:pPr>
        <w:spacing w:line="480" w:lineRule="auto"/>
        <w:ind w:left="432" w:hanging="432"/>
        <w:rPr>
          <w:lang w:val="en-US"/>
        </w:rPr>
      </w:pPr>
      <w:r w:rsidRPr="003956D0">
        <w:rPr>
          <w:lang w:val="en-US"/>
        </w:rPr>
        <w:t xml:space="preserve">Volinsky, C. T., &amp; Raftery, A. E. (2000). Bayesian information criterion for censored survival models. </w:t>
      </w:r>
      <w:r w:rsidRPr="003956D0">
        <w:rPr>
          <w:i/>
          <w:lang w:val="en-US"/>
        </w:rPr>
        <w:t>Biometrics, 56</w:t>
      </w:r>
      <w:r w:rsidRPr="003956D0">
        <w:rPr>
          <w:lang w:val="en-US"/>
        </w:rPr>
        <w:t>, 256-262. doi:10.1111/j.0006-341X.2000.00256.x</w:t>
      </w:r>
    </w:p>
    <w:p w:rsidR="000C53C2" w:rsidRPr="003956D0" w:rsidRDefault="000C53C2" w:rsidP="000C53C2">
      <w:pPr>
        <w:spacing w:line="480" w:lineRule="auto"/>
        <w:ind w:left="432" w:hanging="432"/>
        <w:rPr>
          <w:color w:val="000000" w:themeColor="text1"/>
        </w:rPr>
      </w:pPr>
      <w:r w:rsidRPr="003956D0">
        <w:rPr>
          <w:color w:val="000000" w:themeColor="text1"/>
        </w:rPr>
        <w:t xml:space="preserve">Willett, J. B., &amp; Singer, J. D. (1993). Investigating onset, cessation, relapse, and recovery: Why you should, and how you can, use discrete-time survival analysis to examine event occurrence. </w:t>
      </w:r>
      <w:r w:rsidRPr="003956D0">
        <w:rPr>
          <w:i/>
          <w:color w:val="000000" w:themeColor="text1"/>
        </w:rPr>
        <w:t>Journal of Consulting and Clinical Psychology, 61</w:t>
      </w:r>
      <w:r w:rsidRPr="003956D0">
        <w:rPr>
          <w:color w:val="000000" w:themeColor="text1"/>
        </w:rPr>
        <w:t xml:space="preserve">, 952-965. doi:10.1037/0022-006X.61.6.952 </w:t>
      </w:r>
    </w:p>
    <w:p w:rsidR="000C53C2" w:rsidRPr="003956D0" w:rsidRDefault="000C53C2" w:rsidP="000C53C2">
      <w:pPr>
        <w:spacing w:line="480" w:lineRule="auto"/>
        <w:ind w:left="432" w:hanging="432"/>
        <w:rPr>
          <w:color w:val="222222"/>
        </w:rPr>
      </w:pPr>
      <w:r w:rsidRPr="003956D0">
        <w:rPr>
          <w:color w:val="222222"/>
        </w:rPr>
        <w:t xml:space="preserve">Willis, G. M., &amp; Grace, R. C. (2008). The quality of community reintegration planning for child molesters: Effects on sexual recidivism. </w:t>
      </w:r>
      <w:r w:rsidRPr="003956D0">
        <w:rPr>
          <w:i/>
          <w:color w:val="222222"/>
        </w:rPr>
        <w:t>Sexual Abuse: A Journal of Research and Treatment, 20</w:t>
      </w:r>
      <w:r w:rsidRPr="003956D0">
        <w:rPr>
          <w:color w:val="222222"/>
        </w:rPr>
        <w:t xml:space="preserve">, 218-240. doi:10.1177/1079063208318005 </w:t>
      </w:r>
    </w:p>
    <w:p w:rsidR="000C53C2" w:rsidRPr="003956D0" w:rsidRDefault="000C53C2" w:rsidP="000C53C2">
      <w:pPr>
        <w:pStyle w:val="BodyTextIndent2"/>
        <w:spacing w:after="0"/>
        <w:ind w:left="432" w:hanging="432"/>
        <w:rPr>
          <w:color w:val="222222"/>
        </w:rPr>
      </w:pPr>
      <w:r w:rsidRPr="003956D0">
        <w:rPr>
          <w:color w:val="222222"/>
        </w:rPr>
        <w:t xml:space="preserve">Willis, G. M., &amp; Grace, R. C. (2009). Assessment of community reintegration planning for sex offenders: Poor planning predicts recidivism. </w:t>
      </w:r>
      <w:r w:rsidRPr="003956D0">
        <w:rPr>
          <w:i/>
          <w:color w:val="222222"/>
        </w:rPr>
        <w:t>Criminal Justice and Behavior, 36</w:t>
      </w:r>
      <w:r w:rsidRPr="003956D0">
        <w:rPr>
          <w:color w:val="222222"/>
        </w:rPr>
        <w:t xml:space="preserve">, 494-512. doi:10.1177/0093854809332874 </w:t>
      </w:r>
    </w:p>
    <w:p w:rsidR="000C53C2" w:rsidRPr="003956D0" w:rsidRDefault="000C53C2" w:rsidP="000C53C2">
      <w:pPr>
        <w:pStyle w:val="BodyTextIndent2"/>
        <w:spacing w:after="0"/>
        <w:ind w:left="432" w:hanging="432"/>
      </w:pPr>
      <w:r w:rsidRPr="003956D0">
        <w:t xml:space="preserve">*Wilson, R. J., Cortoni, F., &amp; Vermani, M. </w:t>
      </w:r>
      <w:r w:rsidR="005D34C8">
        <w:t>(</w:t>
      </w:r>
      <w:r w:rsidRPr="003956D0">
        <w:t>2007</w:t>
      </w:r>
      <w:r w:rsidR="005D34C8">
        <w:t>)</w:t>
      </w:r>
      <w:r w:rsidRPr="003956D0">
        <w:t xml:space="preserve">. </w:t>
      </w:r>
      <w:r w:rsidRPr="003956D0">
        <w:rPr>
          <w:i/>
          <w:iCs/>
        </w:rPr>
        <w:t>Circles of support and accountability: A national replication of outcome findings</w:t>
      </w:r>
      <w:r w:rsidRPr="003956D0">
        <w:t xml:space="preserve"> (Report No. R-185). Ottawa, ON: Correctional Service of Canada.</w:t>
      </w:r>
    </w:p>
    <w:p w:rsidR="000C53C2" w:rsidRPr="003956D0" w:rsidRDefault="000C53C2" w:rsidP="000C53C2">
      <w:pPr>
        <w:pStyle w:val="BodyTextIndent2"/>
        <w:spacing w:after="0"/>
        <w:ind w:left="432" w:hanging="432"/>
        <w:rPr>
          <w:bCs/>
        </w:rPr>
      </w:pPr>
      <w:r w:rsidRPr="003956D0">
        <w:t xml:space="preserve">*Wilson, R. J., Picheca, J. E., &amp; Prinzo, M. (2007). </w:t>
      </w:r>
      <w:r w:rsidR="00211E70">
        <w:t>E</w:t>
      </w:r>
      <w:r w:rsidR="00211E70" w:rsidRPr="003956D0">
        <w:t>valuating the effectiveness of professionally</w:t>
      </w:r>
      <w:r w:rsidR="00211E70" w:rsidRPr="003956D0">
        <w:rPr>
          <w:rFonts w:ascii="Calibri" w:eastAsia="Calibri" w:hAnsi="Calibri" w:cs="Calibri"/>
        </w:rPr>
        <w:t>‐</w:t>
      </w:r>
      <w:r w:rsidR="00211E70" w:rsidRPr="003956D0">
        <w:t>facilitated volunteerism in the community</w:t>
      </w:r>
      <w:r w:rsidR="00211E70" w:rsidRPr="003956D0">
        <w:rPr>
          <w:rFonts w:ascii="Calibri" w:eastAsia="Calibri" w:hAnsi="Calibri" w:cs="Calibri"/>
        </w:rPr>
        <w:t>‐</w:t>
      </w:r>
      <w:r w:rsidR="00211E70" w:rsidRPr="003956D0">
        <w:t>based management of high</w:t>
      </w:r>
      <w:r w:rsidR="00211E70" w:rsidRPr="003956D0">
        <w:rPr>
          <w:rFonts w:ascii="Calibri" w:eastAsia="Calibri" w:hAnsi="Calibri" w:cs="Calibri"/>
        </w:rPr>
        <w:t>‐</w:t>
      </w:r>
      <w:r w:rsidR="00211E70" w:rsidRPr="003956D0">
        <w:t>risk sexual offen</w:t>
      </w:r>
      <w:r w:rsidRPr="003956D0">
        <w:t xml:space="preserve">ders: Part two – A comparison of recidivism rates. </w:t>
      </w:r>
      <w:r w:rsidRPr="003956D0">
        <w:rPr>
          <w:i/>
        </w:rPr>
        <w:t>The Howard Journal of Criminal Justice, 46</w:t>
      </w:r>
      <w:r w:rsidRPr="003956D0">
        <w:t>, 327-337. doi:10.1111/j.1468-2311.2007.00480.x</w:t>
      </w:r>
    </w:p>
    <w:p w:rsidR="000C53C2" w:rsidRDefault="000C53C2" w:rsidP="000C53C2">
      <w:pPr>
        <w:spacing w:line="480" w:lineRule="auto"/>
        <w:ind w:left="432" w:hanging="432"/>
      </w:pPr>
      <w:r w:rsidRPr="003956D0">
        <w:rPr>
          <w:bCs/>
          <w:color w:val="000000" w:themeColor="text1"/>
        </w:rPr>
        <w:t xml:space="preserve">World Health Organization. (2013). </w:t>
      </w:r>
      <w:hyperlink r:id="rId11" w:history="1">
        <w:r w:rsidRPr="003956D0">
          <w:rPr>
            <w:bCs/>
            <w:i/>
            <w:color w:val="000000" w:themeColor="text1"/>
          </w:rPr>
          <w:t xml:space="preserve">Global and regional estimates of </w:t>
        </w:r>
        <w:r w:rsidRPr="003956D0">
          <w:rPr>
            <w:i/>
            <w:color w:val="000000" w:themeColor="text1"/>
          </w:rPr>
          <w:t xml:space="preserve">violence </w:t>
        </w:r>
        <w:r w:rsidRPr="003956D0">
          <w:rPr>
            <w:bCs/>
            <w:i/>
            <w:color w:val="000000" w:themeColor="text1"/>
          </w:rPr>
          <w:t xml:space="preserve">against women: </w:t>
        </w:r>
        <w:r w:rsidRPr="003956D0">
          <w:rPr>
            <w:i/>
            <w:color w:val="000000" w:themeColor="text1"/>
          </w:rPr>
          <w:t xml:space="preserve">Prevalence </w:t>
        </w:r>
        <w:r w:rsidRPr="003956D0">
          <w:rPr>
            <w:bCs/>
            <w:i/>
            <w:color w:val="000000" w:themeColor="text1"/>
          </w:rPr>
          <w:t xml:space="preserve">and health effects of intimate partner </w:t>
        </w:r>
        <w:r w:rsidRPr="003956D0">
          <w:rPr>
            <w:i/>
            <w:color w:val="000000" w:themeColor="text1"/>
          </w:rPr>
          <w:t xml:space="preserve">violence </w:t>
        </w:r>
        <w:r w:rsidRPr="003956D0">
          <w:rPr>
            <w:bCs/>
            <w:i/>
            <w:color w:val="000000" w:themeColor="text1"/>
          </w:rPr>
          <w:t xml:space="preserve">and non-partner </w:t>
        </w:r>
        <w:r w:rsidRPr="003956D0">
          <w:rPr>
            <w:i/>
            <w:color w:val="000000" w:themeColor="text1"/>
          </w:rPr>
          <w:t>sexual violence</w:t>
        </w:r>
      </w:hyperlink>
      <w:r w:rsidRPr="003956D0">
        <w:rPr>
          <w:bCs/>
          <w:i/>
          <w:color w:val="000000" w:themeColor="text1"/>
        </w:rPr>
        <w:t>.</w:t>
      </w:r>
      <w:r w:rsidRPr="003956D0">
        <w:rPr>
          <w:bCs/>
          <w:color w:val="000000" w:themeColor="text1"/>
        </w:rPr>
        <w:t xml:space="preserve"> Geneva, Switzerland: Author.</w:t>
      </w:r>
      <w:r w:rsidRPr="006B3670">
        <w:t xml:space="preserve"> </w:t>
      </w:r>
    </w:p>
    <w:p w:rsidR="000C53C2" w:rsidRPr="006B3670" w:rsidRDefault="000C53C2" w:rsidP="000C53C2">
      <w:pPr>
        <w:spacing w:line="480" w:lineRule="auto"/>
        <w:ind w:left="432" w:hanging="432"/>
        <w:rPr>
          <w:bCs/>
          <w:color w:val="000000" w:themeColor="text1"/>
        </w:rPr>
      </w:pPr>
      <w:r w:rsidRPr="006B3670">
        <w:rPr>
          <w:bCs/>
          <w:color w:val="000000" w:themeColor="text1"/>
        </w:rPr>
        <w:t xml:space="preserve">Zevitz, R. G., &amp; Farkas, M. A. (2000). Sex offender community notification: Examining the importance of neighborhood meetings. </w:t>
      </w:r>
      <w:r w:rsidRPr="006B3670">
        <w:rPr>
          <w:bCs/>
          <w:i/>
          <w:color w:val="000000" w:themeColor="text1"/>
        </w:rPr>
        <w:t>Behavioral Sciences &amp; the Law, 18</w:t>
      </w:r>
      <w:r w:rsidRPr="006B3670">
        <w:rPr>
          <w:bCs/>
          <w:color w:val="000000" w:themeColor="text1"/>
        </w:rPr>
        <w:t xml:space="preserve">, 393-408. doi:10.1002/1099-0798(200003/06)18:2/3&lt;393::AID-BSL381&gt;3.0.CO;2-O </w:t>
      </w:r>
    </w:p>
    <w:p w:rsidR="000C53C2" w:rsidRPr="006B3670" w:rsidRDefault="000C53C2" w:rsidP="000C53C2">
      <w:pPr>
        <w:spacing w:line="480" w:lineRule="auto"/>
        <w:ind w:left="432" w:hanging="432"/>
        <w:rPr>
          <w:bCs/>
          <w:color w:val="000000" w:themeColor="text1"/>
        </w:rPr>
      </w:pPr>
      <w:r w:rsidRPr="006B3670">
        <w:rPr>
          <w:bCs/>
          <w:color w:val="000000" w:themeColor="text1"/>
        </w:rPr>
        <w:t xml:space="preserve">Zimring, F. E. (2009). </w:t>
      </w:r>
      <w:r w:rsidRPr="006B3670">
        <w:rPr>
          <w:bCs/>
          <w:i/>
          <w:color w:val="000000" w:themeColor="text1"/>
        </w:rPr>
        <w:t>An American travesty: Legal responses to adolescent sexual offending</w:t>
      </w:r>
      <w:r w:rsidRPr="006B3670">
        <w:rPr>
          <w:bCs/>
          <w:color w:val="000000" w:themeColor="text1"/>
        </w:rPr>
        <w:t xml:space="preserve">. Chicago, IL: University of Chicago Press. </w:t>
      </w:r>
    </w:p>
    <w:p w:rsidR="000C53C2" w:rsidRPr="003956D0" w:rsidRDefault="000C53C2" w:rsidP="000C53C2">
      <w:pPr>
        <w:spacing w:line="480" w:lineRule="auto"/>
        <w:ind w:left="432" w:hanging="432"/>
        <w:rPr>
          <w:bCs/>
          <w:color w:val="000000" w:themeColor="text1"/>
        </w:rPr>
      </w:pPr>
    </w:p>
    <w:p w:rsidR="000C53C2" w:rsidRPr="006B3670" w:rsidRDefault="000C53C2" w:rsidP="000C53C2">
      <w:pPr>
        <w:spacing w:line="480" w:lineRule="auto"/>
        <w:ind w:left="432" w:hanging="432"/>
        <w:rPr>
          <w:lang w:val="en-US"/>
        </w:rPr>
        <w:sectPr w:rsidR="000C53C2" w:rsidRPr="006B3670" w:rsidSect="009B5ED1">
          <w:headerReference w:type="even" r:id="rId12"/>
          <w:headerReference w:type="default" r:id="rId13"/>
          <w:footerReference w:type="default" r:id="rId14"/>
          <w:headerReference w:type="first" r:id="rId15"/>
          <w:pgSz w:w="12240" w:h="15840"/>
          <w:pgMar w:top="1440" w:right="1800" w:bottom="1440" w:left="1800" w:header="708" w:footer="708" w:gutter="0"/>
          <w:cols w:space="708"/>
          <w:titlePg/>
          <w:docGrid w:linePitch="360"/>
        </w:sectPr>
      </w:pPr>
    </w:p>
    <w:p w:rsidR="000C53C2" w:rsidRPr="009E324F" w:rsidRDefault="000C53C2" w:rsidP="000C53C2">
      <w:pPr>
        <w:rPr>
          <w:sz w:val="22"/>
          <w:szCs w:val="22"/>
          <w:lang w:val="en-US"/>
        </w:rPr>
      </w:pPr>
      <w:r w:rsidRPr="00AA2347">
        <w:rPr>
          <w:sz w:val="22"/>
          <w:szCs w:val="22"/>
          <w:lang w:val="en-US"/>
        </w:rPr>
        <w:t>Table 1</w:t>
      </w:r>
      <w:r>
        <w:rPr>
          <w:sz w:val="22"/>
          <w:szCs w:val="22"/>
          <w:lang w:val="en-US"/>
        </w:rPr>
        <w:t xml:space="preserve">. </w:t>
      </w:r>
      <w:r w:rsidRPr="00AA2347">
        <w:rPr>
          <w:sz w:val="22"/>
          <w:szCs w:val="22"/>
        </w:rPr>
        <w:t xml:space="preserve">Descriptive Information for Samples </w:t>
      </w:r>
    </w:p>
    <w:tbl>
      <w:tblPr>
        <w:tblW w:w="12240" w:type="dxa"/>
        <w:tblLayout w:type="fixed"/>
        <w:tblLook w:val="0000" w:firstRow="0" w:lastRow="0" w:firstColumn="0" w:lastColumn="0" w:noHBand="0" w:noVBand="0"/>
      </w:tblPr>
      <w:tblGrid>
        <w:gridCol w:w="3150"/>
        <w:gridCol w:w="810"/>
        <w:gridCol w:w="1170"/>
        <w:gridCol w:w="1350"/>
        <w:gridCol w:w="1350"/>
        <w:gridCol w:w="2880"/>
        <w:gridCol w:w="1530"/>
      </w:tblGrid>
      <w:tr w:rsidR="000C53C2" w:rsidRPr="00AA2347" w:rsidTr="009B5ED1">
        <w:tc>
          <w:tcPr>
            <w:tcW w:w="3150" w:type="dxa"/>
            <w:tcBorders>
              <w:top w:val="single" w:sz="12" w:space="0" w:color="auto"/>
              <w:bottom w:val="single" w:sz="4" w:space="0" w:color="auto"/>
            </w:tcBorders>
          </w:tcPr>
          <w:p w:rsidR="000C53C2" w:rsidRPr="00AA2347" w:rsidRDefault="000C53C2" w:rsidP="009B5ED1">
            <w:pPr>
              <w:rPr>
                <w:sz w:val="22"/>
                <w:szCs w:val="22"/>
              </w:rPr>
            </w:pPr>
          </w:p>
          <w:p w:rsidR="000C53C2" w:rsidRPr="00AA2347" w:rsidRDefault="000C53C2" w:rsidP="009B5ED1">
            <w:pPr>
              <w:rPr>
                <w:sz w:val="22"/>
                <w:szCs w:val="22"/>
              </w:rPr>
            </w:pPr>
            <w:r w:rsidRPr="00AA2347">
              <w:rPr>
                <w:sz w:val="22"/>
                <w:szCs w:val="22"/>
              </w:rPr>
              <w:t>Study</w:t>
            </w:r>
          </w:p>
        </w:tc>
        <w:tc>
          <w:tcPr>
            <w:tcW w:w="810" w:type="dxa"/>
            <w:tcBorders>
              <w:top w:val="single" w:sz="12" w:space="0" w:color="auto"/>
              <w:bottom w:val="single" w:sz="4" w:space="0" w:color="auto"/>
            </w:tcBorders>
          </w:tcPr>
          <w:p w:rsidR="000C53C2" w:rsidRPr="00AA2347" w:rsidRDefault="000C53C2" w:rsidP="009B5ED1">
            <w:pPr>
              <w:jc w:val="center"/>
              <w:rPr>
                <w:sz w:val="22"/>
                <w:szCs w:val="22"/>
              </w:rPr>
            </w:pPr>
          </w:p>
          <w:p w:rsidR="000C53C2" w:rsidRPr="00AA2347" w:rsidRDefault="000C53C2" w:rsidP="009B5ED1">
            <w:pPr>
              <w:jc w:val="center"/>
              <w:rPr>
                <w:i/>
                <w:sz w:val="22"/>
                <w:szCs w:val="22"/>
              </w:rPr>
            </w:pPr>
            <w:r w:rsidRPr="00AA2347">
              <w:rPr>
                <w:i/>
                <w:sz w:val="22"/>
                <w:szCs w:val="22"/>
              </w:rPr>
              <w:t>n</w:t>
            </w:r>
          </w:p>
        </w:tc>
        <w:tc>
          <w:tcPr>
            <w:tcW w:w="1170" w:type="dxa"/>
            <w:tcBorders>
              <w:top w:val="single" w:sz="12" w:space="0" w:color="auto"/>
              <w:bottom w:val="single" w:sz="4" w:space="0" w:color="auto"/>
            </w:tcBorders>
          </w:tcPr>
          <w:p w:rsidR="000C53C2" w:rsidRPr="00AA2347" w:rsidRDefault="000C53C2" w:rsidP="009B5ED1">
            <w:pPr>
              <w:jc w:val="center"/>
              <w:rPr>
                <w:sz w:val="22"/>
                <w:szCs w:val="22"/>
              </w:rPr>
            </w:pPr>
            <w:r w:rsidRPr="00AA2347">
              <w:rPr>
                <w:sz w:val="22"/>
                <w:szCs w:val="22"/>
              </w:rPr>
              <w:t xml:space="preserve">Age </w:t>
            </w:r>
          </w:p>
          <w:p w:rsidR="000C53C2" w:rsidRPr="00AA2347" w:rsidRDefault="000C53C2" w:rsidP="009B5ED1">
            <w:pPr>
              <w:jc w:val="center"/>
              <w:rPr>
                <w:sz w:val="22"/>
                <w:szCs w:val="22"/>
              </w:rPr>
            </w:pPr>
            <w:r w:rsidRPr="00AA2347">
              <w:rPr>
                <w:i/>
                <w:sz w:val="22"/>
                <w:szCs w:val="22"/>
              </w:rPr>
              <w:t>M</w:t>
            </w:r>
            <w:r w:rsidRPr="00AA2347">
              <w:rPr>
                <w:sz w:val="22"/>
                <w:szCs w:val="22"/>
              </w:rPr>
              <w:t xml:space="preserve"> (SD)</w:t>
            </w:r>
          </w:p>
        </w:tc>
        <w:tc>
          <w:tcPr>
            <w:tcW w:w="1350" w:type="dxa"/>
            <w:tcBorders>
              <w:top w:val="single" w:sz="12" w:space="0" w:color="auto"/>
              <w:bottom w:val="single" w:sz="4" w:space="0" w:color="auto"/>
            </w:tcBorders>
          </w:tcPr>
          <w:p w:rsidR="000C53C2" w:rsidRPr="00AA2347" w:rsidRDefault="000C53C2" w:rsidP="009B5ED1">
            <w:pPr>
              <w:jc w:val="center"/>
              <w:rPr>
                <w:sz w:val="22"/>
                <w:szCs w:val="22"/>
              </w:rPr>
            </w:pPr>
          </w:p>
          <w:p w:rsidR="000C53C2" w:rsidRPr="00AA2347" w:rsidRDefault="000C53C2" w:rsidP="009B5ED1">
            <w:pPr>
              <w:jc w:val="center"/>
              <w:rPr>
                <w:sz w:val="22"/>
                <w:szCs w:val="22"/>
              </w:rPr>
            </w:pPr>
            <w:r w:rsidRPr="00AA2347">
              <w:rPr>
                <w:sz w:val="22"/>
                <w:szCs w:val="22"/>
              </w:rPr>
              <w:t>Country</w:t>
            </w:r>
          </w:p>
        </w:tc>
        <w:tc>
          <w:tcPr>
            <w:tcW w:w="1350" w:type="dxa"/>
            <w:tcBorders>
              <w:top w:val="single" w:sz="12" w:space="0" w:color="auto"/>
              <w:bottom w:val="single" w:sz="4" w:space="0" w:color="auto"/>
            </w:tcBorders>
          </w:tcPr>
          <w:p w:rsidR="000C53C2" w:rsidRPr="00AA2347" w:rsidRDefault="000C53C2" w:rsidP="009B5ED1">
            <w:pPr>
              <w:jc w:val="center"/>
              <w:rPr>
                <w:sz w:val="22"/>
                <w:szCs w:val="22"/>
              </w:rPr>
            </w:pPr>
            <w:r w:rsidRPr="00AA2347">
              <w:rPr>
                <w:sz w:val="22"/>
                <w:szCs w:val="22"/>
              </w:rPr>
              <w:t>Static-99R</w:t>
            </w:r>
          </w:p>
          <w:p w:rsidR="000C53C2" w:rsidRPr="00AA2347" w:rsidRDefault="000C53C2" w:rsidP="009B5ED1">
            <w:pPr>
              <w:jc w:val="center"/>
              <w:rPr>
                <w:sz w:val="22"/>
                <w:szCs w:val="22"/>
              </w:rPr>
            </w:pPr>
            <w:r w:rsidRPr="00AA2347">
              <w:rPr>
                <w:sz w:val="22"/>
                <w:szCs w:val="22"/>
              </w:rPr>
              <w:t xml:space="preserve"> </w:t>
            </w:r>
            <w:r w:rsidRPr="00AA2347">
              <w:rPr>
                <w:i/>
                <w:sz w:val="22"/>
                <w:szCs w:val="22"/>
              </w:rPr>
              <w:t>M</w:t>
            </w:r>
            <w:r w:rsidRPr="00AA2347">
              <w:rPr>
                <w:sz w:val="22"/>
                <w:szCs w:val="22"/>
              </w:rPr>
              <w:t xml:space="preserve"> (</w:t>
            </w:r>
            <w:r w:rsidRPr="00AA2347">
              <w:rPr>
                <w:i/>
                <w:sz w:val="22"/>
                <w:szCs w:val="22"/>
              </w:rPr>
              <w:t>SD</w:t>
            </w:r>
            <w:r w:rsidRPr="00AA2347">
              <w:rPr>
                <w:sz w:val="22"/>
                <w:szCs w:val="22"/>
              </w:rPr>
              <w:t>)</w:t>
            </w:r>
          </w:p>
        </w:tc>
        <w:tc>
          <w:tcPr>
            <w:tcW w:w="2880" w:type="dxa"/>
            <w:tcBorders>
              <w:top w:val="single" w:sz="12" w:space="0" w:color="auto"/>
              <w:bottom w:val="single" w:sz="4" w:space="0" w:color="auto"/>
            </w:tcBorders>
          </w:tcPr>
          <w:p w:rsidR="000C53C2" w:rsidRPr="00AA2347" w:rsidRDefault="000C53C2" w:rsidP="009B5ED1">
            <w:pPr>
              <w:jc w:val="center"/>
              <w:rPr>
                <w:sz w:val="22"/>
                <w:szCs w:val="22"/>
              </w:rPr>
            </w:pPr>
            <w:r w:rsidRPr="00AA2347">
              <w:rPr>
                <w:sz w:val="22"/>
                <w:szCs w:val="22"/>
              </w:rPr>
              <w:t>Type of Sample</w:t>
            </w:r>
          </w:p>
        </w:tc>
        <w:tc>
          <w:tcPr>
            <w:tcW w:w="1530" w:type="dxa"/>
            <w:tcBorders>
              <w:top w:val="single" w:sz="12" w:space="0" w:color="auto"/>
              <w:bottom w:val="single" w:sz="4" w:space="0" w:color="auto"/>
            </w:tcBorders>
          </w:tcPr>
          <w:p w:rsidR="000C53C2" w:rsidRPr="00AA2347" w:rsidRDefault="000C53C2" w:rsidP="009B5ED1">
            <w:pPr>
              <w:jc w:val="center"/>
              <w:rPr>
                <w:sz w:val="22"/>
                <w:szCs w:val="22"/>
              </w:rPr>
            </w:pPr>
            <w:r w:rsidRPr="00AA2347">
              <w:rPr>
                <w:sz w:val="22"/>
                <w:szCs w:val="22"/>
              </w:rPr>
              <w:t>Release Period</w:t>
            </w:r>
          </w:p>
        </w:tc>
      </w:tr>
      <w:tr w:rsidR="000C53C2" w:rsidRPr="00AA2347" w:rsidTr="009B5ED1">
        <w:tc>
          <w:tcPr>
            <w:tcW w:w="3150" w:type="dxa"/>
          </w:tcPr>
          <w:p w:rsidR="000C53C2" w:rsidRPr="00AA2347" w:rsidRDefault="000C53C2" w:rsidP="009B5ED1">
            <w:pPr>
              <w:rPr>
                <w:b/>
                <w:sz w:val="20"/>
                <w:szCs w:val="20"/>
              </w:rPr>
            </w:pPr>
            <w:r w:rsidRPr="00AA2347">
              <w:rPr>
                <w:b/>
                <w:sz w:val="20"/>
                <w:szCs w:val="20"/>
              </w:rPr>
              <w:t>Routine/Complete</w:t>
            </w:r>
          </w:p>
        </w:tc>
        <w:tc>
          <w:tcPr>
            <w:tcW w:w="810" w:type="dxa"/>
          </w:tcPr>
          <w:p w:rsidR="000C53C2" w:rsidRPr="00AA2347" w:rsidRDefault="000C53C2" w:rsidP="009B5ED1">
            <w:pPr>
              <w:jc w:val="right"/>
              <w:rPr>
                <w:sz w:val="20"/>
                <w:szCs w:val="20"/>
              </w:rPr>
            </w:pPr>
          </w:p>
        </w:tc>
        <w:tc>
          <w:tcPr>
            <w:tcW w:w="1170" w:type="dxa"/>
          </w:tcPr>
          <w:p w:rsidR="000C53C2" w:rsidRPr="00AA2347" w:rsidRDefault="000C53C2" w:rsidP="009B5ED1">
            <w:pPr>
              <w:jc w:val="center"/>
              <w:rPr>
                <w:sz w:val="20"/>
                <w:szCs w:val="20"/>
              </w:rPr>
            </w:pPr>
          </w:p>
        </w:tc>
        <w:tc>
          <w:tcPr>
            <w:tcW w:w="1350" w:type="dxa"/>
          </w:tcPr>
          <w:p w:rsidR="000C53C2" w:rsidRPr="00AA2347" w:rsidRDefault="000C53C2" w:rsidP="009B5ED1">
            <w:pPr>
              <w:rPr>
                <w:sz w:val="20"/>
                <w:szCs w:val="20"/>
              </w:rPr>
            </w:pPr>
          </w:p>
        </w:tc>
        <w:tc>
          <w:tcPr>
            <w:tcW w:w="1350" w:type="dxa"/>
          </w:tcPr>
          <w:p w:rsidR="000C53C2" w:rsidRPr="00AA2347" w:rsidRDefault="000C53C2" w:rsidP="009B5ED1">
            <w:pPr>
              <w:rPr>
                <w:sz w:val="20"/>
                <w:szCs w:val="20"/>
              </w:rPr>
            </w:pPr>
          </w:p>
        </w:tc>
        <w:tc>
          <w:tcPr>
            <w:tcW w:w="2880" w:type="dxa"/>
          </w:tcPr>
          <w:p w:rsidR="000C53C2" w:rsidRPr="00AA2347" w:rsidRDefault="000C53C2" w:rsidP="009B5ED1">
            <w:pPr>
              <w:rPr>
                <w:sz w:val="20"/>
                <w:szCs w:val="20"/>
              </w:rPr>
            </w:pPr>
          </w:p>
        </w:tc>
        <w:tc>
          <w:tcPr>
            <w:tcW w:w="1530" w:type="dxa"/>
          </w:tcPr>
          <w:p w:rsidR="000C53C2" w:rsidRPr="00AA2347" w:rsidRDefault="000C53C2" w:rsidP="009B5ED1">
            <w:pPr>
              <w:jc w:val="center"/>
              <w:rPr>
                <w:sz w:val="20"/>
                <w:szCs w:val="20"/>
              </w:rPr>
            </w:pPr>
          </w:p>
        </w:tc>
      </w:tr>
      <w:tr w:rsidR="000C53C2" w:rsidRPr="00AA2347" w:rsidTr="009B5ED1">
        <w:tc>
          <w:tcPr>
            <w:tcW w:w="3150" w:type="dxa"/>
          </w:tcPr>
          <w:p w:rsidR="000C53C2" w:rsidRPr="00AA2347" w:rsidRDefault="000C53C2" w:rsidP="009B5ED1">
            <w:pPr>
              <w:rPr>
                <w:sz w:val="20"/>
                <w:szCs w:val="20"/>
              </w:rPr>
            </w:pPr>
            <w:r w:rsidRPr="00AA2347">
              <w:rPr>
                <w:sz w:val="20"/>
                <w:szCs w:val="20"/>
              </w:rPr>
              <w:t xml:space="preserve"> Bartosh et al. (2003)</w:t>
            </w:r>
          </w:p>
        </w:tc>
        <w:tc>
          <w:tcPr>
            <w:tcW w:w="810" w:type="dxa"/>
          </w:tcPr>
          <w:p w:rsidR="000C53C2" w:rsidRPr="00AA2347" w:rsidRDefault="000C53C2" w:rsidP="009B5ED1">
            <w:pPr>
              <w:jc w:val="right"/>
              <w:rPr>
                <w:sz w:val="20"/>
                <w:szCs w:val="20"/>
                <w:highlight w:val="green"/>
              </w:rPr>
            </w:pPr>
            <w:r w:rsidRPr="00AA2347">
              <w:rPr>
                <w:sz w:val="20"/>
                <w:szCs w:val="20"/>
              </w:rPr>
              <w:t>186</w:t>
            </w:r>
          </w:p>
        </w:tc>
        <w:tc>
          <w:tcPr>
            <w:tcW w:w="1170" w:type="dxa"/>
          </w:tcPr>
          <w:p w:rsidR="000C53C2" w:rsidRPr="00AA2347" w:rsidRDefault="000C53C2" w:rsidP="009B5ED1">
            <w:pPr>
              <w:jc w:val="center"/>
              <w:rPr>
                <w:sz w:val="20"/>
                <w:szCs w:val="20"/>
              </w:rPr>
            </w:pPr>
            <w:r w:rsidRPr="00AA2347">
              <w:rPr>
                <w:sz w:val="20"/>
                <w:szCs w:val="20"/>
              </w:rPr>
              <w:t>38 (12)</w:t>
            </w:r>
          </w:p>
        </w:tc>
        <w:tc>
          <w:tcPr>
            <w:tcW w:w="1350" w:type="dxa"/>
          </w:tcPr>
          <w:p w:rsidR="000C53C2" w:rsidRPr="00AA2347" w:rsidRDefault="000C53C2" w:rsidP="009B5ED1">
            <w:pPr>
              <w:rPr>
                <w:sz w:val="20"/>
                <w:szCs w:val="20"/>
              </w:rPr>
            </w:pPr>
            <w:r w:rsidRPr="00AA2347">
              <w:rPr>
                <w:sz w:val="20"/>
                <w:szCs w:val="20"/>
              </w:rPr>
              <w:t>U.S.</w:t>
            </w:r>
          </w:p>
        </w:tc>
        <w:tc>
          <w:tcPr>
            <w:tcW w:w="1350" w:type="dxa"/>
          </w:tcPr>
          <w:p w:rsidR="000C53C2" w:rsidRPr="00AA2347" w:rsidRDefault="000C53C2" w:rsidP="009B5ED1">
            <w:pPr>
              <w:jc w:val="center"/>
              <w:rPr>
                <w:sz w:val="20"/>
                <w:szCs w:val="20"/>
              </w:rPr>
            </w:pPr>
            <w:r w:rsidRPr="00AA2347">
              <w:rPr>
                <w:sz w:val="20"/>
                <w:szCs w:val="20"/>
              </w:rPr>
              <w:t>3.3 (2.9)</w:t>
            </w:r>
          </w:p>
        </w:tc>
        <w:tc>
          <w:tcPr>
            <w:tcW w:w="2880" w:type="dxa"/>
          </w:tcPr>
          <w:p w:rsidR="000C53C2" w:rsidRPr="00AA2347" w:rsidRDefault="000C53C2" w:rsidP="009B5ED1">
            <w:pPr>
              <w:rPr>
                <w:sz w:val="20"/>
                <w:szCs w:val="20"/>
              </w:rPr>
            </w:pPr>
            <w:r w:rsidRPr="00AA2347">
              <w:rPr>
                <w:sz w:val="20"/>
                <w:szCs w:val="20"/>
              </w:rPr>
              <w:t>Corrections</w:t>
            </w:r>
          </w:p>
        </w:tc>
        <w:tc>
          <w:tcPr>
            <w:tcW w:w="1530" w:type="dxa"/>
            <w:vAlign w:val="center"/>
          </w:tcPr>
          <w:p w:rsidR="000C53C2" w:rsidRPr="00AA2347" w:rsidRDefault="000C53C2" w:rsidP="009B5ED1">
            <w:pPr>
              <w:jc w:val="center"/>
              <w:rPr>
                <w:sz w:val="20"/>
                <w:szCs w:val="20"/>
                <w:highlight w:val="green"/>
              </w:rPr>
            </w:pPr>
            <w:r w:rsidRPr="00AA2347">
              <w:rPr>
                <w:sz w:val="20"/>
                <w:szCs w:val="20"/>
              </w:rPr>
              <w:t>1996</w:t>
            </w:r>
          </w:p>
        </w:tc>
      </w:tr>
      <w:tr w:rsidR="000C53C2" w:rsidRPr="00AA2347" w:rsidTr="009B5ED1">
        <w:tc>
          <w:tcPr>
            <w:tcW w:w="3150" w:type="dxa"/>
          </w:tcPr>
          <w:p w:rsidR="000C53C2" w:rsidRPr="00AA2347" w:rsidRDefault="000C53C2" w:rsidP="009B5ED1">
            <w:pPr>
              <w:rPr>
                <w:sz w:val="20"/>
                <w:szCs w:val="20"/>
              </w:rPr>
            </w:pPr>
            <w:r w:rsidRPr="00AA2347">
              <w:rPr>
                <w:sz w:val="20"/>
                <w:szCs w:val="20"/>
              </w:rPr>
              <w:t xml:space="preserve"> Bigras (2007)</w:t>
            </w:r>
          </w:p>
        </w:tc>
        <w:tc>
          <w:tcPr>
            <w:tcW w:w="810" w:type="dxa"/>
          </w:tcPr>
          <w:p w:rsidR="000C53C2" w:rsidRPr="00AA2347" w:rsidRDefault="000C53C2" w:rsidP="009B5ED1">
            <w:pPr>
              <w:jc w:val="right"/>
              <w:rPr>
                <w:sz w:val="20"/>
                <w:szCs w:val="20"/>
                <w:highlight w:val="green"/>
              </w:rPr>
            </w:pPr>
            <w:r w:rsidRPr="00AA2347">
              <w:rPr>
                <w:sz w:val="20"/>
                <w:szCs w:val="20"/>
              </w:rPr>
              <w:t>473</w:t>
            </w:r>
          </w:p>
        </w:tc>
        <w:tc>
          <w:tcPr>
            <w:tcW w:w="1170" w:type="dxa"/>
          </w:tcPr>
          <w:p w:rsidR="000C53C2" w:rsidRPr="00AA2347" w:rsidRDefault="000C53C2" w:rsidP="009B5ED1">
            <w:pPr>
              <w:jc w:val="center"/>
              <w:rPr>
                <w:sz w:val="20"/>
                <w:szCs w:val="20"/>
              </w:rPr>
            </w:pPr>
            <w:r w:rsidRPr="00AA2347">
              <w:rPr>
                <w:sz w:val="20"/>
                <w:szCs w:val="20"/>
              </w:rPr>
              <w:t>43 (12)</w:t>
            </w:r>
          </w:p>
        </w:tc>
        <w:tc>
          <w:tcPr>
            <w:tcW w:w="1350" w:type="dxa"/>
          </w:tcPr>
          <w:p w:rsidR="000C53C2" w:rsidRPr="00AA2347" w:rsidRDefault="000C53C2" w:rsidP="009B5ED1">
            <w:pPr>
              <w:rPr>
                <w:sz w:val="20"/>
                <w:szCs w:val="20"/>
              </w:rPr>
            </w:pPr>
            <w:r w:rsidRPr="00AA2347">
              <w:rPr>
                <w:sz w:val="20"/>
                <w:szCs w:val="20"/>
              </w:rPr>
              <w:t>Canada</w:t>
            </w:r>
          </w:p>
        </w:tc>
        <w:tc>
          <w:tcPr>
            <w:tcW w:w="1350" w:type="dxa"/>
          </w:tcPr>
          <w:p w:rsidR="000C53C2" w:rsidRPr="00AA2347" w:rsidRDefault="000C53C2" w:rsidP="009B5ED1">
            <w:pPr>
              <w:jc w:val="center"/>
              <w:rPr>
                <w:sz w:val="20"/>
                <w:szCs w:val="20"/>
              </w:rPr>
            </w:pPr>
            <w:r w:rsidRPr="00AA2347">
              <w:rPr>
                <w:sz w:val="20"/>
                <w:szCs w:val="20"/>
              </w:rPr>
              <w:t>2.1 (2.4)</w:t>
            </w:r>
          </w:p>
        </w:tc>
        <w:tc>
          <w:tcPr>
            <w:tcW w:w="2880" w:type="dxa"/>
          </w:tcPr>
          <w:p w:rsidR="000C53C2" w:rsidRPr="00AA2347" w:rsidRDefault="000C53C2" w:rsidP="009B5ED1">
            <w:pPr>
              <w:rPr>
                <w:sz w:val="20"/>
                <w:szCs w:val="20"/>
              </w:rPr>
            </w:pPr>
            <w:r w:rsidRPr="00AA2347">
              <w:rPr>
                <w:sz w:val="20"/>
                <w:szCs w:val="20"/>
              </w:rPr>
              <w:t>CSC Reception Centre</w:t>
            </w:r>
          </w:p>
        </w:tc>
        <w:tc>
          <w:tcPr>
            <w:tcW w:w="1530" w:type="dxa"/>
            <w:vAlign w:val="center"/>
          </w:tcPr>
          <w:p w:rsidR="000C53C2" w:rsidRPr="00AA2347" w:rsidRDefault="000C53C2" w:rsidP="009B5ED1">
            <w:pPr>
              <w:jc w:val="center"/>
              <w:rPr>
                <w:sz w:val="20"/>
                <w:szCs w:val="20"/>
              </w:rPr>
            </w:pPr>
            <w:r w:rsidRPr="00AA2347">
              <w:rPr>
                <w:sz w:val="20"/>
                <w:szCs w:val="20"/>
              </w:rPr>
              <w:t>1995-2003</w:t>
            </w:r>
          </w:p>
        </w:tc>
      </w:tr>
      <w:tr w:rsidR="000C53C2" w:rsidRPr="00AA2347" w:rsidTr="009B5ED1">
        <w:tc>
          <w:tcPr>
            <w:tcW w:w="3150" w:type="dxa"/>
          </w:tcPr>
          <w:p w:rsidR="000C53C2" w:rsidRPr="00AA2347" w:rsidRDefault="000C53C2" w:rsidP="009B5ED1">
            <w:pPr>
              <w:rPr>
                <w:sz w:val="20"/>
                <w:szCs w:val="20"/>
              </w:rPr>
            </w:pPr>
            <w:r w:rsidRPr="00AA2347">
              <w:rPr>
                <w:sz w:val="20"/>
                <w:szCs w:val="20"/>
              </w:rPr>
              <w:t xml:space="preserve"> Boer (2003)</w:t>
            </w:r>
          </w:p>
        </w:tc>
        <w:tc>
          <w:tcPr>
            <w:tcW w:w="810" w:type="dxa"/>
          </w:tcPr>
          <w:p w:rsidR="000C53C2" w:rsidRPr="00AA2347" w:rsidRDefault="000C53C2" w:rsidP="009B5ED1">
            <w:pPr>
              <w:jc w:val="right"/>
              <w:rPr>
                <w:sz w:val="20"/>
                <w:szCs w:val="20"/>
                <w:highlight w:val="green"/>
              </w:rPr>
            </w:pPr>
            <w:r w:rsidRPr="00AA2347">
              <w:rPr>
                <w:sz w:val="20"/>
                <w:szCs w:val="20"/>
              </w:rPr>
              <w:t>299</w:t>
            </w:r>
          </w:p>
        </w:tc>
        <w:tc>
          <w:tcPr>
            <w:tcW w:w="1170" w:type="dxa"/>
          </w:tcPr>
          <w:p w:rsidR="000C53C2" w:rsidRPr="00AA2347" w:rsidRDefault="000C53C2" w:rsidP="009B5ED1">
            <w:pPr>
              <w:jc w:val="center"/>
              <w:rPr>
                <w:sz w:val="20"/>
                <w:szCs w:val="20"/>
              </w:rPr>
            </w:pPr>
            <w:r w:rsidRPr="00AA2347">
              <w:rPr>
                <w:sz w:val="20"/>
                <w:szCs w:val="20"/>
              </w:rPr>
              <w:t>41 (12)</w:t>
            </w:r>
          </w:p>
        </w:tc>
        <w:tc>
          <w:tcPr>
            <w:tcW w:w="1350" w:type="dxa"/>
          </w:tcPr>
          <w:p w:rsidR="000C53C2" w:rsidRPr="00AA2347" w:rsidRDefault="000C53C2" w:rsidP="009B5ED1">
            <w:pPr>
              <w:rPr>
                <w:sz w:val="20"/>
                <w:szCs w:val="20"/>
              </w:rPr>
            </w:pPr>
            <w:r w:rsidRPr="00AA2347">
              <w:rPr>
                <w:sz w:val="20"/>
                <w:szCs w:val="20"/>
              </w:rPr>
              <w:t>Canada</w:t>
            </w:r>
          </w:p>
        </w:tc>
        <w:tc>
          <w:tcPr>
            <w:tcW w:w="1350" w:type="dxa"/>
          </w:tcPr>
          <w:p w:rsidR="000C53C2" w:rsidRPr="00AA2347" w:rsidRDefault="000C53C2" w:rsidP="009B5ED1">
            <w:pPr>
              <w:jc w:val="center"/>
              <w:rPr>
                <w:sz w:val="20"/>
                <w:szCs w:val="20"/>
              </w:rPr>
            </w:pPr>
            <w:r w:rsidRPr="00AA2347">
              <w:rPr>
                <w:sz w:val="20"/>
                <w:szCs w:val="20"/>
              </w:rPr>
              <w:t>2.8 (2.8)</w:t>
            </w:r>
          </w:p>
        </w:tc>
        <w:tc>
          <w:tcPr>
            <w:tcW w:w="2880" w:type="dxa"/>
          </w:tcPr>
          <w:p w:rsidR="000C53C2" w:rsidRPr="00AA2347" w:rsidRDefault="000C53C2" w:rsidP="009B5ED1">
            <w:pPr>
              <w:rPr>
                <w:sz w:val="20"/>
                <w:szCs w:val="20"/>
              </w:rPr>
            </w:pPr>
            <w:r w:rsidRPr="00AA2347">
              <w:rPr>
                <w:sz w:val="20"/>
                <w:szCs w:val="20"/>
              </w:rPr>
              <w:t>CSC release cohort</w:t>
            </w:r>
          </w:p>
        </w:tc>
        <w:tc>
          <w:tcPr>
            <w:tcW w:w="1530" w:type="dxa"/>
            <w:vAlign w:val="center"/>
          </w:tcPr>
          <w:p w:rsidR="000C53C2" w:rsidRPr="00AA2347" w:rsidRDefault="000C53C2" w:rsidP="009B5ED1">
            <w:pPr>
              <w:jc w:val="center"/>
              <w:rPr>
                <w:sz w:val="20"/>
                <w:szCs w:val="20"/>
              </w:rPr>
            </w:pPr>
            <w:r w:rsidRPr="00AA2347">
              <w:rPr>
                <w:sz w:val="20"/>
                <w:szCs w:val="20"/>
              </w:rPr>
              <w:t>1976-1994</w:t>
            </w:r>
          </w:p>
        </w:tc>
      </w:tr>
      <w:tr w:rsidR="000C53C2" w:rsidRPr="00AA2347" w:rsidTr="009B5ED1">
        <w:tc>
          <w:tcPr>
            <w:tcW w:w="3150" w:type="dxa"/>
          </w:tcPr>
          <w:p w:rsidR="000C53C2" w:rsidRPr="00AA2347" w:rsidRDefault="000C53C2" w:rsidP="009B5ED1">
            <w:pPr>
              <w:rPr>
                <w:sz w:val="20"/>
                <w:szCs w:val="20"/>
              </w:rPr>
            </w:pPr>
            <w:r w:rsidRPr="00AA2347">
              <w:rPr>
                <w:sz w:val="20"/>
                <w:szCs w:val="20"/>
              </w:rPr>
              <w:t xml:space="preserve"> Craissati et al. (2011)</w:t>
            </w:r>
          </w:p>
        </w:tc>
        <w:tc>
          <w:tcPr>
            <w:tcW w:w="810" w:type="dxa"/>
          </w:tcPr>
          <w:p w:rsidR="000C53C2" w:rsidRPr="00AA2347" w:rsidRDefault="000C53C2" w:rsidP="009B5ED1">
            <w:pPr>
              <w:jc w:val="right"/>
              <w:rPr>
                <w:sz w:val="20"/>
                <w:szCs w:val="20"/>
                <w:highlight w:val="green"/>
              </w:rPr>
            </w:pPr>
            <w:r w:rsidRPr="00AA2347">
              <w:rPr>
                <w:sz w:val="20"/>
                <w:szCs w:val="20"/>
              </w:rPr>
              <w:t>209</w:t>
            </w:r>
          </w:p>
        </w:tc>
        <w:tc>
          <w:tcPr>
            <w:tcW w:w="1170" w:type="dxa"/>
          </w:tcPr>
          <w:p w:rsidR="000C53C2" w:rsidRPr="00AA2347" w:rsidRDefault="000C53C2" w:rsidP="009B5ED1">
            <w:pPr>
              <w:jc w:val="center"/>
              <w:rPr>
                <w:sz w:val="20"/>
                <w:szCs w:val="20"/>
              </w:rPr>
            </w:pPr>
            <w:r w:rsidRPr="00AA2347">
              <w:rPr>
                <w:sz w:val="20"/>
                <w:szCs w:val="20"/>
              </w:rPr>
              <w:t>38 (12)</w:t>
            </w:r>
          </w:p>
        </w:tc>
        <w:tc>
          <w:tcPr>
            <w:tcW w:w="1350" w:type="dxa"/>
          </w:tcPr>
          <w:p w:rsidR="000C53C2" w:rsidRPr="00AA2347" w:rsidRDefault="000C53C2" w:rsidP="009B5ED1">
            <w:pPr>
              <w:rPr>
                <w:sz w:val="20"/>
                <w:szCs w:val="20"/>
              </w:rPr>
            </w:pPr>
            <w:r w:rsidRPr="00AA2347">
              <w:rPr>
                <w:sz w:val="20"/>
                <w:szCs w:val="20"/>
              </w:rPr>
              <w:t>U.K.</w:t>
            </w:r>
          </w:p>
        </w:tc>
        <w:tc>
          <w:tcPr>
            <w:tcW w:w="1350" w:type="dxa"/>
          </w:tcPr>
          <w:p w:rsidR="000C53C2" w:rsidRPr="00AA2347" w:rsidRDefault="000C53C2" w:rsidP="009B5ED1">
            <w:pPr>
              <w:jc w:val="center"/>
              <w:rPr>
                <w:sz w:val="20"/>
                <w:szCs w:val="20"/>
              </w:rPr>
            </w:pPr>
            <w:r w:rsidRPr="00AA2347">
              <w:rPr>
                <w:sz w:val="20"/>
                <w:szCs w:val="20"/>
              </w:rPr>
              <w:t>2.2 (2.3)</w:t>
            </w:r>
          </w:p>
        </w:tc>
        <w:tc>
          <w:tcPr>
            <w:tcW w:w="2880" w:type="dxa"/>
          </w:tcPr>
          <w:p w:rsidR="000C53C2" w:rsidRPr="00AA2347" w:rsidRDefault="000C53C2" w:rsidP="009B5ED1">
            <w:pPr>
              <w:rPr>
                <w:sz w:val="20"/>
                <w:szCs w:val="20"/>
              </w:rPr>
            </w:pPr>
            <w:r w:rsidRPr="00AA2347">
              <w:rPr>
                <w:sz w:val="20"/>
                <w:szCs w:val="20"/>
              </w:rPr>
              <w:t>Community supervision</w:t>
            </w:r>
          </w:p>
        </w:tc>
        <w:tc>
          <w:tcPr>
            <w:tcW w:w="1530" w:type="dxa"/>
            <w:vAlign w:val="center"/>
          </w:tcPr>
          <w:p w:rsidR="000C53C2" w:rsidRPr="00AA2347" w:rsidRDefault="000C53C2" w:rsidP="009B5ED1">
            <w:pPr>
              <w:jc w:val="center"/>
              <w:rPr>
                <w:sz w:val="20"/>
                <w:szCs w:val="20"/>
              </w:rPr>
            </w:pPr>
            <w:r w:rsidRPr="00AA2347">
              <w:rPr>
                <w:sz w:val="20"/>
                <w:szCs w:val="20"/>
              </w:rPr>
              <w:t>1992-2005</w:t>
            </w:r>
          </w:p>
        </w:tc>
      </w:tr>
      <w:tr w:rsidR="000C53C2" w:rsidRPr="00AA2347" w:rsidTr="009B5ED1">
        <w:tc>
          <w:tcPr>
            <w:tcW w:w="3150" w:type="dxa"/>
          </w:tcPr>
          <w:p w:rsidR="000C53C2" w:rsidRPr="00AA2347" w:rsidRDefault="000C53C2" w:rsidP="009B5ED1">
            <w:pPr>
              <w:rPr>
                <w:sz w:val="20"/>
                <w:szCs w:val="20"/>
              </w:rPr>
            </w:pPr>
            <w:r w:rsidRPr="00AA2347">
              <w:rPr>
                <w:sz w:val="20"/>
                <w:szCs w:val="20"/>
              </w:rPr>
              <w:t xml:space="preserve"> Eher et al. (2009)</w:t>
            </w:r>
          </w:p>
        </w:tc>
        <w:tc>
          <w:tcPr>
            <w:tcW w:w="810" w:type="dxa"/>
          </w:tcPr>
          <w:p w:rsidR="000C53C2" w:rsidRPr="00AA2347" w:rsidRDefault="000C53C2" w:rsidP="009B5ED1">
            <w:pPr>
              <w:jc w:val="right"/>
              <w:rPr>
                <w:sz w:val="20"/>
                <w:szCs w:val="20"/>
                <w:highlight w:val="green"/>
              </w:rPr>
            </w:pPr>
            <w:r w:rsidRPr="00AA2347">
              <w:rPr>
                <w:sz w:val="20"/>
                <w:szCs w:val="20"/>
              </w:rPr>
              <w:t>706</w:t>
            </w:r>
          </w:p>
        </w:tc>
        <w:tc>
          <w:tcPr>
            <w:tcW w:w="1170" w:type="dxa"/>
          </w:tcPr>
          <w:p w:rsidR="000C53C2" w:rsidRPr="00AA2347" w:rsidRDefault="000C53C2" w:rsidP="009B5ED1">
            <w:pPr>
              <w:jc w:val="center"/>
              <w:rPr>
                <w:sz w:val="20"/>
                <w:szCs w:val="20"/>
              </w:rPr>
            </w:pPr>
            <w:r w:rsidRPr="00AA2347">
              <w:rPr>
                <w:sz w:val="20"/>
                <w:szCs w:val="20"/>
              </w:rPr>
              <w:t>41 (13)</w:t>
            </w:r>
          </w:p>
        </w:tc>
        <w:tc>
          <w:tcPr>
            <w:tcW w:w="1350" w:type="dxa"/>
          </w:tcPr>
          <w:p w:rsidR="000C53C2" w:rsidRPr="00AA2347" w:rsidRDefault="000C53C2" w:rsidP="009B5ED1">
            <w:pPr>
              <w:rPr>
                <w:sz w:val="20"/>
                <w:szCs w:val="20"/>
              </w:rPr>
            </w:pPr>
            <w:r w:rsidRPr="00AA2347">
              <w:rPr>
                <w:sz w:val="20"/>
                <w:szCs w:val="20"/>
              </w:rPr>
              <w:t>Austria</w:t>
            </w:r>
          </w:p>
        </w:tc>
        <w:tc>
          <w:tcPr>
            <w:tcW w:w="1350" w:type="dxa"/>
          </w:tcPr>
          <w:p w:rsidR="000C53C2" w:rsidRPr="00AA2347" w:rsidRDefault="000C53C2" w:rsidP="009B5ED1">
            <w:pPr>
              <w:jc w:val="center"/>
              <w:rPr>
                <w:sz w:val="20"/>
                <w:szCs w:val="20"/>
              </w:rPr>
            </w:pPr>
            <w:r w:rsidRPr="00AA2347">
              <w:rPr>
                <w:sz w:val="20"/>
                <w:szCs w:val="20"/>
              </w:rPr>
              <w:t>2.3 (2.3)</w:t>
            </w:r>
          </w:p>
        </w:tc>
        <w:tc>
          <w:tcPr>
            <w:tcW w:w="2880" w:type="dxa"/>
          </w:tcPr>
          <w:p w:rsidR="000C53C2" w:rsidRPr="00AA2347" w:rsidRDefault="000C53C2" w:rsidP="009B5ED1">
            <w:pPr>
              <w:rPr>
                <w:sz w:val="20"/>
                <w:szCs w:val="20"/>
              </w:rPr>
            </w:pPr>
            <w:r w:rsidRPr="00AA2347">
              <w:rPr>
                <w:sz w:val="20"/>
                <w:szCs w:val="20"/>
              </w:rPr>
              <w:t>Prison</w:t>
            </w:r>
          </w:p>
        </w:tc>
        <w:tc>
          <w:tcPr>
            <w:tcW w:w="1530" w:type="dxa"/>
            <w:vAlign w:val="center"/>
          </w:tcPr>
          <w:p w:rsidR="000C53C2" w:rsidRPr="00AA2347" w:rsidRDefault="000C53C2" w:rsidP="009B5ED1">
            <w:pPr>
              <w:jc w:val="center"/>
              <w:rPr>
                <w:sz w:val="20"/>
                <w:szCs w:val="20"/>
              </w:rPr>
            </w:pPr>
            <w:r w:rsidRPr="00AA2347">
              <w:rPr>
                <w:sz w:val="20"/>
                <w:szCs w:val="20"/>
              </w:rPr>
              <w:t>2000-2005</w:t>
            </w:r>
          </w:p>
        </w:tc>
      </w:tr>
      <w:tr w:rsidR="000C53C2" w:rsidRPr="00AA2347" w:rsidTr="009B5ED1">
        <w:tc>
          <w:tcPr>
            <w:tcW w:w="3150" w:type="dxa"/>
          </w:tcPr>
          <w:p w:rsidR="000C53C2" w:rsidRPr="00AA2347" w:rsidRDefault="000C53C2" w:rsidP="009B5ED1">
            <w:pPr>
              <w:rPr>
                <w:sz w:val="20"/>
                <w:szCs w:val="20"/>
              </w:rPr>
            </w:pPr>
            <w:r w:rsidRPr="00AA2347">
              <w:rPr>
                <w:sz w:val="20"/>
                <w:szCs w:val="20"/>
              </w:rPr>
              <w:t xml:space="preserve"> Epperson (2003)</w:t>
            </w:r>
          </w:p>
        </w:tc>
        <w:tc>
          <w:tcPr>
            <w:tcW w:w="810" w:type="dxa"/>
          </w:tcPr>
          <w:p w:rsidR="000C53C2" w:rsidRPr="00AA2347" w:rsidRDefault="000C53C2" w:rsidP="009B5ED1">
            <w:pPr>
              <w:jc w:val="right"/>
              <w:rPr>
                <w:sz w:val="20"/>
                <w:szCs w:val="20"/>
                <w:highlight w:val="green"/>
              </w:rPr>
            </w:pPr>
            <w:r w:rsidRPr="00AA2347">
              <w:rPr>
                <w:sz w:val="20"/>
                <w:szCs w:val="20"/>
              </w:rPr>
              <w:t>177</w:t>
            </w:r>
          </w:p>
        </w:tc>
        <w:tc>
          <w:tcPr>
            <w:tcW w:w="1170" w:type="dxa"/>
          </w:tcPr>
          <w:p w:rsidR="000C53C2" w:rsidRPr="00AA2347" w:rsidRDefault="000C53C2" w:rsidP="009B5ED1">
            <w:pPr>
              <w:jc w:val="center"/>
              <w:rPr>
                <w:sz w:val="20"/>
                <w:szCs w:val="20"/>
              </w:rPr>
            </w:pPr>
            <w:r w:rsidRPr="00AA2347">
              <w:rPr>
                <w:sz w:val="20"/>
                <w:szCs w:val="20"/>
              </w:rPr>
              <w:t>37 (13)</w:t>
            </w:r>
          </w:p>
        </w:tc>
        <w:tc>
          <w:tcPr>
            <w:tcW w:w="1350" w:type="dxa"/>
          </w:tcPr>
          <w:p w:rsidR="000C53C2" w:rsidRPr="00AA2347" w:rsidRDefault="000C53C2" w:rsidP="009B5ED1">
            <w:pPr>
              <w:rPr>
                <w:sz w:val="20"/>
                <w:szCs w:val="20"/>
              </w:rPr>
            </w:pPr>
            <w:r w:rsidRPr="00AA2347">
              <w:rPr>
                <w:sz w:val="20"/>
                <w:szCs w:val="20"/>
              </w:rPr>
              <w:t>U.S.</w:t>
            </w:r>
          </w:p>
        </w:tc>
        <w:tc>
          <w:tcPr>
            <w:tcW w:w="1350" w:type="dxa"/>
          </w:tcPr>
          <w:p w:rsidR="000C53C2" w:rsidRPr="00AA2347" w:rsidRDefault="000C53C2" w:rsidP="009B5ED1">
            <w:pPr>
              <w:jc w:val="center"/>
              <w:rPr>
                <w:sz w:val="20"/>
                <w:szCs w:val="20"/>
              </w:rPr>
            </w:pPr>
            <w:r w:rsidRPr="00AA2347">
              <w:rPr>
                <w:sz w:val="20"/>
                <w:szCs w:val="20"/>
              </w:rPr>
              <w:t>2.5 (2.6)</w:t>
            </w:r>
          </w:p>
        </w:tc>
        <w:tc>
          <w:tcPr>
            <w:tcW w:w="2880" w:type="dxa"/>
          </w:tcPr>
          <w:p w:rsidR="000C53C2" w:rsidRPr="00AA2347" w:rsidRDefault="000C53C2" w:rsidP="009B5ED1">
            <w:pPr>
              <w:rPr>
                <w:sz w:val="20"/>
                <w:szCs w:val="20"/>
              </w:rPr>
            </w:pPr>
            <w:r w:rsidRPr="00AA2347">
              <w:rPr>
                <w:sz w:val="20"/>
                <w:szCs w:val="20"/>
              </w:rPr>
              <w:t>Prison and probation</w:t>
            </w:r>
          </w:p>
        </w:tc>
        <w:tc>
          <w:tcPr>
            <w:tcW w:w="1530" w:type="dxa"/>
            <w:vAlign w:val="center"/>
          </w:tcPr>
          <w:p w:rsidR="000C53C2" w:rsidRPr="00AA2347" w:rsidRDefault="000C53C2" w:rsidP="009B5ED1">
            <w:pPr>
              <w:jc w:val="center"/>
              <w:rPr>
                <w:sz w:val="20"/>
                <w:szCs w:val="20"/>
              </w:rPr>
            </w:pPr>
            <w:r w:rsidRPr="00AA2347">
              <w:rPr>
                <w:sz w:val="20"/>
                <w:szCs w:val="20"/>
              </w:rPr>
              <w:t>1989-1998</w:t>
            </w:r>
          </w:p>
        </w:tc>
      </w:tr>
      <w:tr w:rsidR="000C53C2" w:rsidRPr="00AA2347" w:rsidTr="009B5ED1">
        <w:tc>
          <w:tcPr>
            <w:tcW w:w="3150" w:type="dxa"/>
          </w:tcPr>
          <w:p w:rsidR="000C53C2" w:rsidRPr="00AA2347" w:rsidRDefault="000C53C2" w:rsidP="009B5ED1">
            <w:pPr>
              <w:rPr>
                <w:sz w:val="20"/>
                <w:szCs w:val="20"/>
              </w:rPr>
            </w:pPr>
            <w:r w:rsidRPr="00AA2347">
              <w:rPr>
                <w:sz w:val="20"/>
                <w:szCs w:val="20"/>
              </w:rPr>
              <w:t xml:space="preserve"> Hanson et al. (2007) </w:t>
            </w:r>
          </w:p>
        </w:tc>
        <w:tc>
          <w:tcPr>
            <w:tcW w:w="810" w:type="dxa"/>
          </w:tcPr>
          <w:p w:rsidR="000C53C2" w:rsidRPr="00AA2347" w:rsidRDefault="000C53C2" w:rsidP="009B5ED1">
            <w:pPr>
              <w:jc w:val="right"/>
              <w:rPr>
                <w:sz w:val="20"/>
                <w:szCs w:val="20"/>
                <w:highlight w:val="green"/>
              </w:rPr>
            </w:pPr>
            <w:r w:rsidRPr="00AA2347">
              <w:rPr>
                <w:sz w:val="20"/>
                <w:szCs w:val="20"/>
              </w:rPr>
              <w:t>698</w:t>
            </w:r>
          </w:p>
        </w:tc>
        <w:tc>
          <w:tcPr>
            <w:tcW w:w="1170" w:type="dxa"/>
          </w:tcPr>
          <w:p w:rsidR="000C53C2" w:rsidRPr="00AA2347" w:rsidRDefault="000C53C2" w:rsidP="009B5ED1">
            <w:pPr>
              <w:jc w:val="center"/>
              <w:rPr>
                <w:sz w:val="20"/>
                <w:szCs w:val="20"/>
              </w:rPr>
            </w:pPr>
            <w:r w:rsidRPr="00AA2347">
              <w:rPr>
                <w:sz w:val="20"/>
                <w:szCs w:val="20"/>
              </w:rPr>
              <w:t>42 (13)</w:t>
            </w:r>
          </w:p>
        </w:tc>
        <w:tc>
          <w:tcPr>
            <w:tcW w:w="1350" w:type="dxa"/>
          </w:tcPr>
          <w:p w:rsidR="000C53C2" w:rsidRPr="00AA2347" w:rsidRDefault="000C53C2" w:rsidP="009B5ED1">
            <w:pPr>
              <w:rPr>
                <w:sz w:val="20"/>
                <w:szCs w:val="20"/>
              </w:rPr>
            </w:pPr>
            <w:r w:rsidRPr="00AA2347">
              <w:rPr>
                <w:sz w:val="20"/>
                <w:szCs w:val="20"/>
              </w:rPr>
              <w:t>Canada</w:t>
            </w:r>
          </w:p>
        </w:tc>
        <w:tc>
          <w:tcPr>
            <w:tcW w:w="1350" w:type="dxa"/>
          </w:tcPr>
          <w:p w:rsidR="000C53C2" w:rsidRPr="00AA2347" w:rsidRDefault="000C53C2" w:rsidP="009B5ED1">
            <w:pPr>
              <w:jc w:val="center"/>
              <w:rPr>
                <w:sz w:val="20"/>
                <w:szCs w:val="20"/>
              </w:rPr>
            </w:pPr>
            <w:r w:rsidRPr="00AA2347">
              <w:rPr>
                <w:sz w:val="20"/>
                <w:szCs w:val="20"/>
              </w:rPr>
              <w:t>2.4 (2.4)</w:t>
            </w:r>
          </w:p>
        </w:tc>
        <w:tc>
          <w:tcPr>
            <w:tcW w:w="2880" w:type="dxa"/>
          </w:tcPr>
          <w:p w:rsidR="000C53C2" w:rsidRPr="00AA2347" w:rsidRDefault="000C53C2" w:rsidP="009B5ED1">
            <w:pPr>
              <w:rPr>
                <w:sz w:val="20"/>
                <w:szCs w:val="20"/>
              </w:rPr>
            </w:pPr>
            <w:r w:rsidRPr="00AA2347">
              <w:rPr>
                <w:sz w:val="20"/>
                <w:szCs w:val="20"/>
              </w:rPr>
              <w:t>Community supervision</w:t>
            </w:r>
          </w:p>
        </w:tc>
        <w:tc>
          <w:tcPr>
            <w:tcW w:w="1530" w:type="dxa"/>
            <w:vAlign w:val="center"/>
          </w:tcPr>
          <w:p w:rsidR="000C53C2" w:rsidRPr="00AA2347" w:rsidRDefault="000C53C2" w:rsidP="009B5ED1">
            <w:pPr>
              <w:jc w:val="center"/>
              <w:rPr>
                <w:sz w:val="20"/>
                <w:szCs w:val="20"/>
              </w:rPr>
            </w:pPr>
            <w:r w:rsidRPr="00AA2347">
              <w:rPr>
                <w:sz w:val="20"/>
                <w:szCs w:val="20"/>
              </w:rPr>
              <w:t>2001-2005</w:t>
            </w:r>
          </w:p>
        </w:tc>
      </w:tr>
      <w:tr w:rsidR="000C53C2" w:rsidRPr="00AA2347" w:rsidTr="009B5ED1">
        <w:tc>
          <w:tcPr>
            <w:tcW w:w="3150" w:type="dxa"/>
          </w:tcPr>
          <w:p w:rsidR="000C53C2" w:rsidRPr="00AA2347" w:rsidRDefault="000C53C2" w:rsidP="009B5ED1">
            <w:pPr>
              <w:rPr>
                <w:sz w:val="20"/>
                <w:szCs w:val="20"/>
              </w:rPr>
            </w:pPr>
            <w:r w:rsidRPr="00AA2347">
              <w:rPr>
                <w:sz w:val="20"/>
                <w:szCs w:val="20"/>
              </w:rPr>
              <w:t xml:space="preserve"> Långström (2004)</w:t>
            </w:r>
          </w:p>
        </w:tc>
        <w:tc>
          <w:tcPr>
            <w:tcW w:w="810" w:type="dxa"/>
          </w:tcPr>
          <w:p w:rsidR="000C53C2" w:rsidRPr="00AA2347" w:rsidRDefault="000C53C2" w:rsidP="009B5ED1">
            <w:pPr>
              <w:jc w:val="right"/>
              <w:rPr>
                <w:sz w:val="20"/>
                <w:szCs w:val="20"/>
                <w:highlight w:val="green"/>
              </w:rPr>
            </w:pPr>
            <w:r w:rsidRPr="00AA2347">
              <w:rPr>
                <w:sz w:val="20"/>
                <w:szCs w:val="20"/>
              </w:rPr>
              <w:t>1,278</w:t>
            </w:r>
          </w:p>
        </w:tc>
        <w:tc>
          <w:tcPr>
            <w:tcW w:w="1170" w:type="dxa"/>
          </w:tcPr>
          <w:p w:rsidR="000C53C2" w:rsidRPr="00AA2347" w:rsidRDefault="000C53C2" w:rsidP="009B5ED1">
            <w:pPr>
              <w:jc w:val="center"/>
              <w:rPr>
                <w:sz w:val="20"/>
                <w:szCs w:val="20"/>
              </w:rPr>
            </w:pPr>
            <w:r w:rsidRPr="00AA2347">
              <w:rPr>
                <w:sz w:val="20"/>
                <w:szCs w:val="20"/>
              </w:rPr>
              <w:t>41 (12)</w:t>
            </w:r>
          </w:p>
        </w:tc>
        <w:tc>
          <w:tcPr>
            <w:tcW w:w="1350" w:type="dxa"/>
          </w:tcPr>
          <w:p w:rsidR="000C53C2" w:rsidRPr="00AA2347" w:rsidRDefault="000C53C2" w:rsidP="009B5ED1">
            <w:pPr>
              <w:rPr>
                <w:sz w:val="20"/>
                <w:szCs w:val="20"/>
              </w:rPr>
            </w:pPr>
            <w:r w:rsidRPr="00AA2347">
              <w:rPr>
                <w:sz w:val="20"/>
                <w:szCs w:val="20"/>
              </w:rPr>
              <w:t>Sweden</w:t>
            </w:r>
          </w:p>
        </w:tc>
        <w:tc>
          <w:tcPr>
            <w:tcW w:w="1350" w:type="dxa"/>
          </w:tcPr>
          <w:p w:rsidR="000C53C2" w:rsidRPr="00AA2347" w:rsidRDefault="000C53C2" w:rsidP="009B5ED1">
            <w:pPr>
              <w:jc w:val="center"/>
              <w:rPr>
                <w:sz w:val="20"/>
                <w:szCs w:val="20"/>
              </w:rPr>
            </w:pPr>
            <w:r w:rsidRPr="00AA2347">
              <w:rPr>
                <w:sz w:val="20"/>
                <w:szCs w:val="20"/>
              </w:rPr>
              <w:t>2.0 (2.4)</w:t>
            </w:r>
          </w:p>
        </w:tc>
        <w:tc>
          <w:tcPr>
            <w:tcW w:w="2880" w:type="dxa"/>
          </w:tcPr>
          <w:p w:rsidR="000C53C2" w:rsidRPr="00AA2347" w:rsidRDefault="000C53C2" w:rsidP="009B5ED1">
            <w:pPr>
              <w:rPr>
                <w:sz w:val="20"/>
                <w:szCs w:val="20"/>
              </w:rPr>
            </w:pPr>
            <w:r w:rsidRPr="00AA2347">
              <w:rPr>
                <w:sz w:val="20"/>
                <w:szCs w:val="20"/>
              </w:rPr>
              <w:t>National prison release cohort</w:t>
            </w:r>
          </w:p>
        </w:tc>
        <w:tc>
          <w:tcPr>
            <w:tcW w:w="1530" w:type="dxa"/>
            <w:vAlign w:val="center"/>
          </w:tcPr>
          <w:p w:rsidR="000C53C2" w:rsidRPr="00AA2347" w:rsidRDefault="000C53C2" w:rsidP="009B5ED1">
            <w:pPr>
              <w:jc w:val="center"/>
              <w:rPr>
                <w:sz w:val="20"/>
                <w:szCs w:val="20"/>
              </w:rPr>
            </w:pPr>
            <w:r w:rsidRPr="00AA2347">
              <w:rPr>
                <w:sz w:val="20"/>
                <w:szCs w:val="20"/>
              </w:rPr>
              <w:t>1993-1997</w:t>
            </w:r>
          </w:p>
        </w:tc>
      </w:tr>
      <w:tr w:rsidR="000C53C2" w:rsidRPr="00AA2347" w:rsidTr="009B5ED1">
        <w:tc>
          <w:tcPr>
            <w:tcW w:w="3150" w:type="dxa"/>
          </w:tcPr>
          <w:p w:rsidR="000C53C2" w:rsidRPr="00AA2347" w:rsidRDefault="000C53C2" w:rsidP="009B5ED1">
            <w:pPr>
              <w:rPr>
                <w:sz w:val="20"/>
                <w:szCs w:val="20"/>
              </w:rPr>
            </w:pPr>
          </w:p>
          <w:p w:rsidR="000C53C2" w:rsidRPr="00AA2347" w:rsidRDefault="000C53C2" w:rsidP="009B5ED1">
            <w:pPr>
              <w:rPr>
                <w:b/>
                <w:sz w:val="20"/>
                <w:szCs w:val="20"/>
              </w:rPr>
            </w:pPr>
            <w:r w:rsidRPr="00AA2347">
              <w:rPr>
                <w:b/>
                <w:sz w:val="20"/>
                <w:szCs w:val="20"/>
              </w:rPr>
              <w:t>Preselected Treatment</w:t>
            </w:r>
          </w:p>
        </w:tc>
        <w:tc>
          <w:tcPr>
            <w:tcW w:w="810" w:type="dxa"/>
          </w:tcPr>
          <w:p w:rsidR="000C53C2" w:rsidRPr="00AA2347" w:rsidRDefault="000C53C2" w:rsidP="009B5ED1">
            <w:pPr>
              <w:jc w:val="right"/>
              <w:rPr>
                <w:sz w:val="20"/>
                <w:szCs w:val="20"/>
              </w:rPr>
            </w:pPr>
          </w:p>
        </w:tc>
        <w:tc>
          <w:tcPr>
            <w:tcW w:w="1170" w:type="dxa"/>
          </w:tcPr>
          <w:p w:rsidR="000C53C2" w:rsidRPr="00AA2347" w:rsidRDefault="000C53C2" w:rsidP="009B5ED1">
            <w:pPr>
              <w:jc w:val="center"/>
              <w:rPr>
                <w:sz w:val="20"/>
                <w:szCs w:val="20"/>
              </w:rPr>
            </w:pPr>
          </w:p>
        </w:tc>
        <w:tc>
          <w:tcPr>
            <w:tcW w:w="1350" w:type="dxa"/>
          </w:tcPr>
          <w:p w:rsidR="000C53C2" w:rsidRPr="00AA2347" w:rsidRDefault="000C53C2" w:rsidP="009B5ED1">
            <w:pPr>
              <w:rPr>
                <w:sz w:val="20"/>
                <w:szCs w:val="20"/>
              </w:rPr>
            </w:pPr>
          </w:p>
        </w:tc>
        <w:tc>
          <w:tcPr>
            <w:tcW w:w="1350" w:type="dxa"/>
          </w:tcPr>
          <w:p w:rsidR="000C53C2" w:rsidRPr="00AA2347" w:rsidRDefault="000C53C2" w:rsidP="009B5ED1">
            <w:pPr>
              <w:rPr>
                <w:sz w:val="20"/>
                <w:szCs w:val="20"/>
              </w:rPr>
            </w:pPr>
          </w:p>
        </w:tc>
        <w:tc>
          <w:tcPr>
            <w:tcW w:w="2880" w:type="dxa"/>
          </w:tcPr>
          <w:p w:rsidR="000C53C2" w:rsidRPr="00AA2347" w:rsidRDefault="000C53C2" w:rsidP="009B5ED1">
            <w:pPr>
              <w:rPr>
                <w:sz w:val="20"/>
                <w:szCs w:val="20"/>
              </w:rPr>
            </w:pPr>
          </w:p>
        </w:tc>
        <w:tc>
          <w:tcPr>
            <w:tcW w:w="1530" w:type="dxa"/>
            <w:vAlign w:val="center"/>
          </w:tcPr>
          <w:p w:rsidR="000C53C2" w:rsidRPr="00AA2347" w:rsidRDefault="000C53C2" w:rsidP="009B5ED1">
            <w:pPr>
              <w:jc w:val="center"/>
              <w:rPr>
                <w:sz w:val="20"/>
                <w:szCs w:val="20"/>
                <w:highlight w:val="green"/>
              </w:rPr>
            </w:pPr>
          </w:p>
        </w:tc>
      </w:tr>
      <w:tr w:rsidR="000C53C2" w:rsidRPr="00AA2347" w:rsidTr="009B5ED1">
        <w:tc>
          <w:tcPr>
            <w:tcW w:w="3150" w:type="dxa"/>
          </w:tcPr>
          <w:p w:rsidR="000C53C2" w:rsidRPr="00AA2347" w:rsidRDefault="000C53C2" w:rsidP="009B5ED1">
            <w:pPr>
              <w:rPr>
                <w:sz w:val="20"/>
                <w:szCs w:val="20"/>
              </w:rPr>
            </w:pPr>
            <w:r w:rsidRPr="00AA2347">
              <w:rPr>
                <w:sz w:val="20"/>
                <w:szCs w:val="20"/>
              </w:rPr>
              <w:t xml:space="preserve"> Allan et al. (2007)</w:t>
            </w:r>
          </w:p>
        </w:tc>
        <w:tc>
          <w:tcPr>
            <w:tcW w:w="810" w:type="dxa"/>
          </w:tcPr>
          <w:p w:rsidR="000C53C2" w:rsidRPr="00AA2347" w:rsidRDefault="000C53C2" w:rsidP="009B5ED1">
            <w:pPr>
              <w:jc w:val="right"/>
              <w:rPr>
                <w:sz w:val="20"/>
                <w:szCs w:val="20"/>
              </w:rPr>
            </w:pPr>
            <w:r w:rsidRPr="00AA2347">
              <w:rPr>
                <w:sz w:val="20"/>
                <w:szCs w:val="20"/>
              </w:rPr>
              <w:t>476</w:t>
            </w:r>
          </w:p>
        </w:tc>
        <w:tc>
          <w:tcPr>
            <w:tcW w:w="1170" w:type="dxa"/>
          </w:tcPr>
          <w:p w:rsidR="000C53C2" w:rsidRPr="00AA2347" w:rsidRDefault="000C53C2" w:rsidP="009B5ED1">
            <w:pPr>
              <w:jc w:val="center"/>
              <w:rPr>
                <w:sz w:val="20"/>
                <w:szCs w:val="20"/>
              </w:rPr>
            </w:pPr>
            <w:r w:rsidRPr="00AA2347">
              <w:rPr>
                <w:sz w:val="20"/>
                <w:szCs w:val="20"/>
              </w:rPr>
              <w:t>42 (12)</w:t>
            </w:r>
          </w:p>
        </w:tc>
        <w:tc>
          <w:tcPr>
            <w:tcW w:w="1350" w:type="dxa"/>
          </w:tcPr>
          <w:p w:rsidR="000C53C2" w:rsidRPr="00AA2347" w:rsidRDefault="000C53C2" w:rsidP="009B5ED1">
            <w:pPr>
              <w:rPr>
                <w:sz w:val="20"/>
                <w:szCs w:val="20"/>
              </w:rPr>
            </w:pPr>
            <w:r w:rsidRPr="00AA2347">
              <w:rPr>
                <w:sz w:val="20"/>
                <w:szCs w:val="20"/>
              </w:rPr>
              <w:t>New Zealand</w:t>
            </w:r>
          </w:p>
        </w:tc>
        <w:tc>
          <w:tcPr>
            <w:tcW w:w="1350" w:type="dxa"/>
          </w:tcPr>
          <w:p w:rsidR="000C53C2" w:rsidRPr="00AA2347" w:rsidRDefault="000C53C2" w:rsidP="009B5ED1">
            <w:pPr>
              <w:jc w:val="center"/>
              <w:rPr>
                <w:sz w:val="20"/>
                <w:szCs w:val="20"/>
              </w:rPr>
            </w:pPr>
            <w:r w:rsidRPr="00AA2347">
              <w:rPr>
                <w:sz w:val="20"/>
                <w:szCs w:val="20"/>
              </w:rPr>
              <w:t>1.8 (2.3)</w:t>
            </w:r>
          </w:p>
        </w:tc>
        <w:tc>
          <w:tcPr>
            <w:tcW w:w="2880" w:type="dxa"/>
          </w:tcPr>
          <w:p w:rsidR="000C53C2" w:rsidRPr="00AA2347" w:rsidRDefault="000C53C2" w:rsidP="009B5ED1">
            <w:pPr>
              <w:rPr>
                <w:sz w:val="20"/>
                <w:szCs w:val="20"/>
              </w:rPr>
            </w:pPr>
            <w:r w:rsidRPr="00AA2347">
              <w:rPr>
                <w:sz w:val="20"/>
                <w:szCs w:val="20"/>
              </w:rPr>
              <w:t xml:space="preserve">Prison treatment </w:t>
            </w:r>
          </w:p>
        </w:tc>
        <w:tc>
          <w:tcPr>
            <w:tcW w:w="1530" w:type="dxa"/>
            <w:vAlign w:val="center"/>
          </w:tcPr>
          <w:p w:rsidR="000C53C2" w:rsidRPr="00AA2347" w:rsidRDefault="000C53C2" w:rsidP="009B5ED1">
            <w:pPr>
              <w:jc w:val="center"/>
              <w:rPr>
                <w:sz w:val="20"/>
                <w:szCs w:val="20"/>
              </w:rPr>
            </w:pPr>
            <w:r w:rsidRPr="00AA2347">
              <w:rPr>
                <w:sz w:val="20"/>
                <w:szCs w:val="20"/>
              </w:rPr>
              <w:t>1990-2000</w:t>
            </w:r>
          </w:p>
        </w:tc>
      </w:tr>
      <w:tr w:rsidR="000C53C2" w:rsidRPr="00AA2347" w:rsidTr="009B5ED1">
        <w:tc>
          <w:tcPr>
            <w:tcW w:w="3150" w:type="dxa"/>
          </w:tcPr>
          <w:p w:rsidR="000C53C2" w:rsidRPr="00AA2347" w:rsidRDefault="000C53C2" w:rsidP="009B5ED1">
            <w:pPr>
              <w:rPr>
                <w:sz w:val="20"/>
                <w:szCs w:val="20"/>
              </w:rPr>
            </w:pPr>
            <w:r w:rsidRPr="00AA2347">
              <w:rPr>
                <w:sz w:val="20"/>
                <w:szCs w:val="20"/>
              </w:rPr>
              <w:t xml:space="preserve"> Brouillette-Alarie &amp; Proulx (2008)</w:t>
            </w:r>
          </w:p>
        </w:tc>
        <w:tc>
          <w:tcPr>
            <w:tcW w:w="810" w:type="dxa"/>
          </w:tcPr>
          <w:p w:rsidR="000C53C2" w:rsidRPr="00AA2347" w:rsidRDefault="000C53C2" w:rsidP="009B5ED1">
            <w:pPr>
              <w:jc w:val="right"/>
              <w:rPr>
                <w:sz w:val="20"/>
                <w:szCs w:val="20"/>
              </w:rPr>
            </w:pPr>
            <w:r w:rsidRPr="00AA2347">
              <w:rPr>
                <w:sz w:val="20"/>
                <w:szCs w:val="20"/>
              </w:rPr>
              <w:t>223</w:t>
            </w:r>
          </w:p>
        </w:tc>
        <w:tc>
          <w:tcPr>
            <w:tcW w:w="1170" w:type="dxa"/>
          </w:tcPr>
          <w:p w:rsidR="000C53C2" w:rsidRPr="00AA2347" w:rsidRDefault="000C53C2" w:rsidP="009B5ED1">
            <w:pPr>
              <w:jc w:val="center"/>
              <w:rPr>
                <w:sz w:val="20"/>
                <w:szCs w:val="20"/>
              </w:rPr>
            </w:pPr>
            <w:r w:rsidRPr="00AA2347">
              <w:rPr>
                <w:sz w:val="20"/>
                <w:szCs w:val="20"/>
              </w:rPr>
              <w:t>36 (10)</w:t>
            </w:r>
          </w:p>
        </w:tc>
        <w:tc>
          <w:tcPr>
            <w:tcW w:w="1350" w:type="dxa"/>
          </w:tcPr>
          <w:p w:rsidR="000C53C2" w:rsidRPr="00AA2347" w:rsidRDefault="000C53C2" w:rsidP="009B5ED1">
            <w:pPr>
              <w:rPr>
                <w:sz w:val="20"/>
                <w:szCs w:val="20"/>
              </w:rPr>
            </w:pPr>
            <w:r w:rsidRPr="00AA2347">
              <w:rPr>
                <w:sz w:val="20"/>
                <w:szCs w:val="20"/>
              </w:rPr>
              <w:t>Canada</w:t>
            </w:r>
          </w:p>
        </w:tc>
        <w:tc>
          <w:tcPr>
            <w:tcW w:w="1350" w:type="dxa"/>
          </w:tcPr>
          <w:p w:rsidR="000C53C2" w:rsidRPr="00AA2347" w:rsidRDefault="000C53C2" w:rsidP="009B5ED1">
            <w:pPr>
              <w:jc w:val="center"/>
              <w:rPr>
                <w:sz w:val="20"/>
                <w:szCs w:val="20"/>
              </w:rPr>
            </w:pPr>
            <w:r w:rsidRPr="00AA2347">
              <w:rPr>
                <w:sz w:val="20"/>
                <w:szCs w:val="20"/>
              </w:rPr>
              <w:t>3.9 (2.4)</w:t>
            </w:r>
          </w:p>
        </w:tc>
        <w:tc>
          <w:tcPr>
            <w:tcW w:w="2880" w:type="dxa"/>
          </w:tcPr>
          <w:p w:rsidR="000C53C2" w:rsidRPr="00AA2347" w:rsidRDefault="000C53C2" w:rsidP="009B5ED1">
            <w:pPr>
              <w:rPr>
                <w:sz w:val="20"/>
                <w:szCs w:val="20"/>
              </w:rPr>
            </w:pPr>
            <w:r w:rsidRPr="00AA2347">
              <w:rPr>
                <w:sz w:val="20"/>
                <w:szCs w:val="20"/>
              </w:rPr>
              <w:t>Prison &amp; community treatment</w:t>
            </w:r>
          </w:p>
        </w:tc>
        <w:tc>
          <w:tcPr>
            <w:tcW w:w="1530" w:type="dxa"/>
            <w:vAlign w:val="center"/>
          </w:tcPr>
          <w:p w:rsidR="000C53C2" w:rsidRPr="00AA2347" w:rsidRDefault="000C53C2" w:rsidP="009B5ED1">
            <w:pPr>
              <w:jc w:val="center"/>
              <w:rPr>
                <w:sz w:val="20"/>
                <w:szCs w:val="20"/>
              </w:rPr>
            </w:pPr>
            <w:r w:rsidRPr="00AA2347">
              <w:rPr>
                <w:sz w:val="20"/>
                <w:szCs w:val="20"/>
              </w:rPr>
              <w:t>1979-2005</w:t>
            </w:r>
          </w:p>
        </w:tc>
      </w:tr>
      <w:tr w:rsidR="000C53C2" w:rsidRPr="00AA2347" w:rsidTr="009B5ED1">
        <w:tc>
          <w:tcPr>
            <w:tcW w:w="3150" w:type="dxa"/>
          </w:tcPr>
          <w:p w:rsidR="000C53C2" w:rsidRPr="00AA2347" w:rsidRDefault="000C53C2" w:rsidP="009B5ED1">
            <w:pPr>
              <w:rPr>
                <w:sz w:val="20"/>
                <w:szCs w:val="20"/>
              </w:rPr>
            </w:pPr>
            <w:r w:rsidRPr="00AA2347">
              <w:rPr>
                <w:sz w:val="20"/>
                <w:szCs w:val="20"/>
              </w:rPr>
              <w:t xml:space="preserve"> Johansen (2007)</w:t>
            </w:r>
          </w:p>
        </w:tc>
        <w:tc>
          <w:tcPr>
            <w:tcW w:w="810" w:type="dxa"/>
          </w:tcPr>
          <w:p w:rsidR="000C53C2" w:rsidRPr="00AA2347" w:rsidRDefault="000C53C2" w:rsidP="009B5ED1">
            <w:pPr>
              <w:jc w:val="right"/>
              <w:rPr>
                <w:sz w:val="20"/>
                <w:szCs w:val="20"/>
                <w:highlight w:val="green"/>
              </w:rPr>
            </w:pPr>
            <w:r w:rsidRPr="00AA2347">
              <w:rPr>
                <w:sz w:val="20"/>
                <w:szCs w:val="20"/>
              </w:rPr>
              <w:t>273</w:t>
            </w:r>
          </w:p>
        </w:tc>
        <w:tc>
          <w:tcPr>
            <w:tcW w:w="1170" w:type="dxa"/>
          </w:tcPr>
          <w:p w:rsidR="000C53C2" w:rsidRPr="00AA2347" w:rsidRDefault="000C53C2" w:rsidP="009B5ED1">
            <w:pPr>
              <w:jc w:val="center"/>
              <w:rPr>
                <w:sz w:val="20"/>
                <w:szCs w:val="20"/>
              </w:rPr>
            </w:pPr>
            <w:r w:rsidRPr="00AA2347">
              <w:rPr>
                <w:sz w:val="20"/>
                <w:szCs w:val="20"/>
              </w:rPr>
              <w:t>38 (11)</w:t>
            </w:r>
          </w:p>
        </w:tc>
        <w:tc>
          <w:tcPr>
            <w:tcW w:w="1350" w:type="dxa"/>
          </w:tcPr>
          <w:p w:rsidR="000C53C2" w:rsidRPr="00AA2347" w:rsidRDefault="000C53C2" w:rsidP="009B5ED1">
            <w:pPr>
              <w:rPr>
                <w:sz w:val="20"/>
                <w:szCs w:val="20"/>
              </w:rPr>
            </w:pPr>
            <w:r w:rsidRPr="00AA2347">
              <w:rPr>
                <w:sz w:val="20"/>
                <w:szCs w:val="20"/>
              </w:rPr>
              <w:t>U.S.</w:t>
            </w:r>
          </w:p>
        </w:tc>
        <w:tc>
          <w:tcPr>
            <w:tcW w:w="1350" w:type="dxa"/>
          </w:tcPr>
          <w:p w:rsidR="000C53C2" w:rsidRPr="00AA2347" w:rsidRDefault="000C53C2" w:rsidP="009B5ED1">
            <w:pPr>
              <w:jc w:val="center"/>
              <w:rPr>
                <w:sz w:val="20"/>
                <w:szCs w:val="20"/>
              </w:rPr>
            </w:pPr>
            <w:r w:rsidRPr="00AA2347">
              <w:rPr>
                <w:sz w:val="20"/>
                <w:szCs w:val="20"/>
              </w:rPr>
              <w:t>2.9 (2.3)</w:t>
            </w:r>
          </w:p>
        </w:tc>
        <w:tc>
          <w:tcPr>
            <w:tcW w:w="2880" w:type="dxa"/>
          </w:tcPr>
          <w:p w:rsidR="000C53C2" w:rsidRPr="00AA2347" w:rsidRDefault="000C53C2" w:rsidP="009B5ED1">
            <w:pPr>
              <w:rPr>
                <w:sz w:val="20"/>
                <w:szCs w:val="20"/>
              </w:rPr>
            </w:pPr>
            <w:r w:rsidRPr="00AA2347">
              <w:rPr>
                <w:sz w:val="20"/>
                <w:szCs w:val="20"/>
              </w:rPr>
              <w:t>Prison treatment</w:t>
            </w:r>
          </w:p>
        </w:tc>
        <w:tc>
          <w:tcPr>
            <w:tcW w:w="1530" w:type="dxa"/>
            <w:vAlign w:val="center"/>
          </w:tcPr>
          <w:p w:rsidR="000C53C2" w:rsidRPr="00AA2347" w:rsidRDefault="000C53C2" w:rsidP="009B5ED1">
            <w:pPr>
              <w:jc w:val="center"/>
              <w:rPr>
                <w:sz w:val="20"/>
                <w:szCs w:val="20"/>
              </w:rPr>
            </w:pPr>
            <w:r w:rsidRPr="00AA2347">
              <w:rPr>
                <w:sz w:val="20"/>
                <w:szCs w:val="20"/>
              </w:rPr>
              <w:t>1994-2000</w:t>
            </w:r>
          </w:p>
        </w:tc>
      </w:tr>
      <w:tr w:rsidR="000C53C2" w:rsidRPr="00AA2347" w:rsidTr="009B5ED1">
        <w:tc>
          <w:tcPr>
            <w:tcW w:w="3150" w:type="dxa"/>
          </w:tcPr>
          <w:p w:rsidR="000C53C2" w:rsidRPr="00AA2347" w:rsidRDefault="000C53C2" w:rsidP="005D34C8">
            <w:pPr>
              <w:rPr>
                <w:sz w:val="20"/>
                <w:szCs w:val="20"/>
              </w:rPr>
            </w:pPr>
            <w:r w:rsidRPr="00AA2347">
              <w:rPr>
                <w:sz w:val="20"/>
                <w:szCs w:val="20"/>
              </w:rPr>
              <w:t xml:space="preserve"> Romine et al. (2008)</w:t>
            </w:r>
          </w:p>
        </w:tc>
        <w:tc>
          <w:tcPr>
            <w:tcW w:w="810" w:type="dxa"/>
          </w:tcPr>
          <w:p w:rsidR="000C53C2" w:rsidRPr="00AA2347" w:rsidRDefault="000C53C2" w:rsidP="009B5ED1">
            <w:pPr>
              <w:jc w:val="right"/>
              <w:rPr>
                <w:sz w:val="20"/>
                <w:szCs w:val="20"/>
                <w:highlight w:val="green"/>
              </w:rPr>
            </w:pPr>
            <w:r w:rsidRPr="00AA2347">
              <w:rPr>
                <w:sz w:val="20"/>
                <w:szCs w:val="20"/>
              </w:rPr>
              <w:t>680</w:t>
            </w:r>
          </w:p>
        </w:tc>
        <w:tc>
          <w:tcPr>
            <w:tcW w:w="1170" w:type="dxa"/>
          </w:tcPr>
          <w:p w:rsidR="000C53C2" w:rsidRPr="00AA2347" w:rsidRDefault="000C53C2" w:rsidP="009B5ED1">
            <w:pPr>
              <w:jc w:val="center"/>
              <w:rPr>
                <w:sz w:val="20"/>
                <w:szCs w:val="20"/>
              </w:rPr>
            </w:pPr>
            <w:r w:rsidRPr="00AA2347">
              <w:rPr>
                <w:sz w:val="20"/>
                <w:szCs w:val="20"/>
              </w:rPr>
              <w:t>38 (12)</w:t>
            </w:r>
          </w:p>
        </w:tc>
        <w:tc>
          <w:tcPr>
            <w:tcW w:w="1350" w:type="dxa"/>
          </w:tcPr>
          <w:p w:rsidR="000C53C2" w:rsidRPr="00AA2347" w:rsidRDefault="000C53C2" w:rsidP="009B5ED1">
            <w:pPr>
              <w:rPr>
                <w:sz w:val="20"/>
                <w:szCs w:val="20"/>
              </w:rPr>
            </w:pPr>
            <w:r w:rsidRPr="00AA2347">
              <w:rPr>
                <w:sz w:val="20"/>
                <w:szCs w:val="20"/>
              </w:rPr>
              <w:t>U.S.</w:t>
            </w:r>
          </w:p>
        </w:tc>
        <w:tc>
          <w:tcPr>
            <w:tcW w:w="1350" w:type="dxa"/>
          </w:tcPr>
          <w:p w:rsidR="000C53C2" w:rsidRPr="00AA2347" w:rsidRDefault="000C53C2" w:rsidP="009B5ED1">
            <w:pPr>
              <w:jc w:val="center"/>
              <w:rPr>
                <w:sz w:val="20"/>
                <w:szCs w:val="20"/>
              </w:rPr>
            </w:pPr>
            <w:r w:rsidRPr="00AA2347">
              <w:rPr>
                <w:sz w:val="20"/>
                <w:szCs w:val="20"/>
              </w:rPr>
              <w:t>1.7 (2.2)</w:t>
            </w:r>
          </w:p>
        </w:tc>
        <w:tc>
          <w:tcPr>
            <w:tcW w:w="2880" w:type="dxa"/>
          </w:tcPr>
          <w:p w:rsidR="000C53C2" w:rsidRPr="00AA2347" w:rsidRDefault="000C53C2" w:rsidP="009B5ED1">
            <w:pPr>
              <w:rPr>
                <w:sz w:val="20"/>
                <w:szCs w:val="20"/>
              </w:rPr>
            </w:pPr>
            <w:r w:rsidRPr="00AA2347">
              <w:rPr>
                <w:sz w:val="20"/>
                <w:szCs w:val="20"/>
              </w:rPr>
              <w:t>Community treatment</w:t>
            </w:r>
          </w:p>
        </w:tc>
        <w:tc>
          <w:tcPr>
            <w:tcW w:w="1530" w:type="dxa"/>
            <w:vAlign w:val="center"/>
          </w:tcPr>
          <w:p w:rsidR="000C53C2" w:rsidRPr="00AA2347" w:rsidRDefault="000C53C2" w:rsidP="009B5ED1">
            <w:pPr>
              <w:jc w:val="center"/>
              <w:rPr>
                <w:sz w:val="20"/>
                <w:szCs w:val="20"/>
              </w:rPr>
            </w:pPr>
            <w:r w:rsidRPr="00AA2347">
              <w:rPr>
                <w:sz w:val="20"/>
                <w:szCs w:val="20"/>
              </w:rPr>
              <w:t>1977-2007</w:t>
            </w:r>
          </w:p>
        </w:tc>
      </w:tr>
      <w:tr w:rsidR="000C53C2" w:rsidRPr="00AA2347" w:rsidTr="009B5ED1">
        <w:tc>
          <w:tcPr>
            <w:tcW w:w="3150" w:type="dxa"/>
          </w:tcPr>
          <w:p w:rsidR="000C53C2" w:rsidRPr="00AA2347" w:rsidRDefault="000C53C2" w:rsidP="009B5ED1">
            <w:pPr>
              <w:rPr>
                <w:sz w:val="20"/>
                <w:szCs w:val="20"/>
              </w:rPr>
            </w:pPr>
            <w:r w:rsidRPr="00AA2347">
              <w:rPr>
                <w:sz w:val="20"/>
                <w:szCs w:val="20"/>
              </w:rPr>
              <w:t xml:space="preserve"> Ternowski (2004)</w:t>
            </w:r>
          </w:p>
        </w:tc>
        <w:tc>
          <w:tcPr>
            <w:tcW w:w="810" w:type="dxa"/>
          </w:tcPr>
          <w:p w:rsidR="000C53C2" w:rsidRPr="00AA2347" w:rsidRDefault="000C53C2" w:rsidP="009B5ED1">
            <w:pPr>
              <w:jc w:val="right"/>
              <w:rPr>
                <w:sz w:val="20"/>
                <w:szCs w:val="20"/>
                <w:highlight w:val="green"/>
              </w:rPr>
            </w:pPr>
            <w:r w:rsidRPr="00AA2347">
              <w:rPr>
                <w:sz w:val="20"/>
                <w:szCs w:val="20"/>
              </w:rPr>
              <w:t>247</w:t>
            </w:r>
          </w:p>
        </w:tc>
        <w:tc>
          <w:tcPr>
            <w:tcW w:w="1170" w:type="dxa"/>
          </w:tcPr>
          <w:p w:rsidR="000C53C2" w:rsidRPr="00AA2347" w:rsidRDefault="000C53C2" w:rsidP="009B5ED1">
            <w:pPr>
              <w:jc w:val="center"/>
              <w:rPr>
                <w:sz w:val="20"/>
                <w:szCs w:val="20"/>
              </w:rPr>
            </w:pPr>
            <w:r w:rsidRPr="00AA2347">
              <w:rPr>
                <w:sz w:val="20"/>
                <w:szCs w:val="20"/>
              </w:rPr>
              <w:t>44 (13)</w:t>
            </w:r>
          </w:p>
        </w:tc>
        <w:tc>
          <w:tcPr>
            <w:tcW w:w="1350" w:type="dxa"/>
          </w:tcPr>
          <w:p w:rsidR="000C53C2" w:rsidRPr="00AA2347" w:rsidRDefault="000C53C2" w:rsidP="009B5ED1">
            <w:pPr>
              <w:rPr>
                <w:sz w:val="20"/>
                <w:szCs w:val="20"/>
              </w:rPr>
            </w:pPr>
            <w:r w:rsidRPr="00AA2347">
              <w:rPr>
                <w:sz w:val="20"/>
                <w:szCs w:val="20"/>
              </w:rPr>
              <w:t>Canada</w:t>
            </w:r>
          </w:p>
        </w:tc>
        <w:tc>
          <w:tcPr>
            <w:tcW w:w="1350" w:type="dxa"/>
          </w:tcPr>
          <w:p w:rsidR="000C53C2" w:rsidRPr="00AA2347" w:rsidRDefault="000C53C2" w:rsidP="009B5ED1">
            <w:pPr>
              <w:jc w:val="center"/>
              <w:rPr>
                <w:sz w:val="20"/>
                <w:szCs w:val="20"/>
              </w:rPr>
            </w:pPr>
            <w:r w:rsidRPr="00AA2347">
              <w:rPr>
                <w:sz w:val="20"/>
                <w:szCs w:val="20"/>
              </w:rPr>
              <w:t>1.6 (2.5)</w:t>
            </w:r>
          </w:p>
        </w:tc>
        <w:tc>
          <w:tcPr>
            <w:tcW w:w="2880" w:type="dxa"/>
          </w:tcPr>
          <w:p w:rsidR="000C53C2" w:rsidRPr="00AA2347" w:rsidRDefault="000C53C2" w:rsidP="009B5ED1">
            <w:pPr>
              <w:rPr>
                <w:sz w:val="20"/>
                <w:szCs w:val="20"/>
              </w:rPr>
            </w:pPr>
            <w:r w:rsidRPr="00AA2347">
              <w:rPr>
                <w:sz w:val="20"/>
                <w:szCs w:val="20"/>
              </w:rPr>
              <w:t>Prison treatment</w:t>
            </w:r>
          </w:p>
        </w:tc>
        <w:tc>
          <w:tcPr>
            <w:tcW w:w="1530" w:type="dxa"/>
            <w:vAlign w:val="center"/>
          </w:tcPr>
          <w:p w:rsidR="000C53C2" w:rsidRPr="00AA2347" w:rsidRDefault="000C53C2" w:rsidP="009B5ED1">
            <w:pPr>
              <w:jc w:val="center"/>
              <w:rPr>
                <w:sz w:val="20"/>
                <w:szCs w:val="20"/>
              </w:rPr>
            </w:pPr>
            <w:r w:rsidRPr="00AA2347">
              <w:rPr>
                <w:sz w:val="20"/>
                <w:szCs w:val="20"/>
              </w:rPr>
              <w:t>1994-1998</w:t>
            </w:r>
          </w:p>
        </w:tc>
      </w:tr>
      <w:tr w:rsidR="000C53C2" w:rsidRPr="00AA2347" w:rsidTr="009B5ED1">
        <w:tc>
          <w:tcPr>
            <w:tcW w:w="3150" w:type="dxa"/>
          </w:tcPr>
          <w:p w:rsidR="000C53C2" w:rsidRPr="00AA2347" w:rsidRDefault="000C53C2" w:rsidP="009B5ED1">
            <w:pPr>
              <w:rPr>
                <w:sz w:val="20"/>
                <w:szCs w:val="20"/>
              </w:rPr>
            </w:pPr>
          </w:p>
          <w:p w:rsidR="000C53C2" w:rsidRPr="00AA2347" w:rsidRDefault="000C53C2" w:rsidP="009B5ED1">
            <w:pPr>
              <w:rPr>
                <w:b/>
                <w:sz w:val="20"/>
                <w:szCs w:val="20"/>
              </w:rPr>
            </w:pPr>
            <w:r w:rsidRPr="00AA2347">
              <w:rPr>
                <w:b/>
                <w:sz w:val="20"/>
                <w:szCs w:val="20"/>
              </w:rPr>
              <w:t>High Risk/High Need</w:t>
            </w:r>
          </w:p>
        </w:tc>
        <w:tc>
          <w:tcPr>
            <w:tcW w:w="810" w:type="dxa"/>
          </w:tcPr>
          <w:p w:rsidR="000C53C2" w:rsidRPr="00AA2347" w:rsidRDefault="000C53C2" w:rsidP="009B5ED1">
            <w:pPr>
              <w:jc w:val="right"/>
              <w:rPr>
                <w:sz w:val="20"/>
                <w:szCs w:val="20"/>
                <w:highlight w:val="green"/>
              </w:rPr>
            </w:pPr>
          </w:p>
        </w:tc>
        <w:tc>
          <w:tcPr>
            <w:tcW w:w="1170" w:type="dxa"/>
          </w:tcPr>
          <w:p w:rsidR="000C53C2" w:rsidRPr="00AA2347" w:rsidRDefault="000C53C2" w:rsidP="009B5ED1">
            <w:pPr>
              <w:jc w:val="center"/>
              <w:rPr>
                <w:sz w:val="20"/>
                <w:szCs w:val="20"/>
              </w:rPr>
            </w:pPr>
          </w:p>
        </w:tc>
        <w:tc>
          <w:tcPr>
            <w:tcW w:w="1350" w:type="dxa"/>
          </w:tcPr>
          <w:p w:rsidR="000C53C2" w:rsidRPr="00AA2347" w:rsidRDefault="000C53C2" w:rsidP="009B5ED1">
            <w:pPr>
              <w:rPr>
                <w:sz w:val="20"/>
                <w:szCs w:val="20"/>
              </w:rPr>
            </w:pPr>
          </w:p>
        </w:tc>
        <w:tc>
          <w:tcPr>
            <w:tcW w:w="1350" w:type="dxa"/>
          </w:tcPr>
          <w:p w:rsidR="000C53C2" w:rsidRPr="00AA2347" w:rsidRDefault="000C53C2" w:rsidP="009B5ED1">
            <w:pPr>
              <w:rPr>
                <w:sz w:val="20"/>
                <w:szCs w:val="20"/>
              </w:rPr>
            </w:pPr>
          </w:p>
        </w:tc>
        <w:tc>
          <w:tcPr>
            <w:tcW w:w="2880" w:type="dxa"/>
          </w:tcPr>
          <w:p w:rsidR="000C53C2" w:rsidRPr="00AA2347" w:rsidRDefault="000C53C2" w:rsidP="009B5ED1">
            <w:pPr>
              <w:rPr>
                <w:sz w:val="20"/>
                <w:szCs w:val="20"/>
              </w:rPr>
            </w:pPr>
          </w:p>
        </w:tc>
        <w:tc>
          <w:tcPr>
            <w:tcW w:w="1530" w:type="dxa"/>
            <w:vAlign w:val="center"/>
          </w:tcPr>
          <w:p w:rsidR="000C53C2" w:rsidRPr="00AA2347" w:rsidRDefault="000C53C2" w:rsidP="009B5ED1">
            <w:pPr>
              <w:jc w:val="center"/>
              <w:rPr>
                <w:sz w:val="20"/>
                <w:szCs w:val="20"/>
                <w:highlight w:val="green"/>
              </w:rPr>
            </w:pPr>
          </w:p>
        </w:tc>
      </w:tr>
      <w:tr w:rsidR="000C53C2" w:rsidRPr="00AA2347" w:rsidTr="009B5ED1">
        <w:tc>
          <w:tcPr>
            <w:tcW w:w="3150" w:type="dxa"/>
          </w:tcPr>
          <w:p w:rsidR="000C53C2" w:rsidRPr="00AA2347" w:rsidRDefault="000C53C2" w:rsidP="009B5ED1">
            <w:pPr>
              <w:rPr>
                <w:sz w:val="20"/>
                <w:szCs w:val="20"/>
              </w:rPr>
            </w:pPr>
            <w:r w:rsidRPr="00AA2347">
              <w:rPr>
                <w:sz w:val="20"/>
                <w:szCs w:val="20"/>
              </w:rPr>
              <w:t xml:space="preserve"> Bengtson (2008)</w:t>
            </w:r>
          </w:p>
        </w:tc>
        <w:tc>
          <w:tcPr>
            <w:tcW w:w="810" w:type="dxa"/>
          </w:tcPr>
          <w:p w:rsidR="000C53C2" w:rsidRPr="00AA2347" w:rsidRDefault="000C53C2" w:rsidP="009B5ED1">
            <w:pPr>
              <w:jc w:val="right"/>
              <w:rPr>
                <w:sz w:val="20"/>
                <w:szCs w:val="20"/>
                <w:highlight w:val="green"/>
              </w:rPr>
            </w:pPr>
            <w:r w:rsidRPr="00AA2347">
              <w:rPr>
                <w:sz w:val="20"/>
                <w:szCs w:val="20"/>
              </w:rPr>
              <w:t>311</w:t>
            </w:r>
          </w:p>
        </w:tc>
        <w:tc>
          <w:tcPr>
            <w:tcW w:w="1170" w:type="dxa"/>
          </w:tcPr>
          <w:p w:rsidR="000C53C2" w:rsidRPr="00AA2347" w:rsidRDefault="000C53C2" w:rsidP="009B5ED1">
            <w:pPr>
              <w:jc w:val="center"/>
              <w:rPr>
                <w:sz w:val="20"/>
                <w:szCs w:val="20"/>
              </w:rPr>
            </w:pPr>
            <w:r w:rsidRPr="00AA2347">
              <w:rPr>
                <w:sz w:val="20"/>
                <w:szCs w:val="20"/>
              </w:rPr>
              <w:t>33 (10)</w:t>
            </w:r>
          </w:p>
        </w:tc>
        <w:tc>
          <w:tcPr>
            <w:tcW w:w="1350" w:type="dxa"/>
          </w:tcPr>
          <w:p w:rsidR="000C53C2" w:rsidRPr="00AA2347" w:rsidRDefault="000C53C2" w:rsidP="009B5ED1">
            <w:pPr>
              <w:rPr>
                <w:sz w:val="20"/>
                <w:szCs w:val="20"/>
              </w:rPr>
            </w:pPr>
            <w:r w:rsidRPr="00AA2347">
              <w:rPr>
                <w:sz w:val="20"/>
                <w:szCs w:val="20"/>
              </w:rPr>
              <w:t>Denmark</w:t>
            </w:r>
          </w:p>
        </w:tc>
        <w:tc>
          <w:tcPr>
            <w:tcW w:w="1350" w:type="dxa"/>
          </w:tcPr>
          <w:p w:rsidR="000C53C2" w:rsidRPr="00AA2347" w:rsidRDefault="000C53C2" w:rsidP="009B5ED1">
            <w:pPr>
              <w:jc w:val="center"/>
              <w:rPr>
                <w:sz w:val="20"/>
                <w:szCs w:val="20"/>
              </w:rPr>
            </w:pPr>
            <w:r w:rsidRPr="00AA2347">
              <w:rPr>
                <w:sz w:val="20"/>
                <w:szCs w:val="20"/>
              </w:rPr>
              <w:t>3.8 (2.4)</w:t>
            </w:r>
          </w:p>
        </w:tc>
        <w:tc>
          <w:tcPr>
            <w:tcW w:w="2880" w:type="dxa"/>
          </w:tcPr>
          <w:p w:rsidR="000C53C2" w:rsidRPr="00AA2347" w:rsidRDefault="000C53C2" w:rsidP="009B5ED1">
            <w:pPr>
              <w:rPr>
                <w:sz w:val="20"/>
                <w:szCs w:val="20"/>
              </w:rPr>
            </w:pPr>
            <w:r w:rsidRPr="00AA2347">
              <w:rPr>
                <w:sz w:val="20"/>
                <w:szCs w:val="20"/>
              </w:rPr>
              <w:t>Forensic psychiatric evaluations</w:t>
            </w:r>
          </w:p>
        </w:tc>
        <w:tc>
          <w:tcPr>
            <w:tcW w:w="1530" w:type="dxa"/>
            <w:vAlign w:val="center"/>
          </w:tcPr>
          <w:p w:rsidR="000C53C2" w:rsidRPr="00AA2347" w:rsidRDefault="000C53C2" w:rsidP="009B5ED1">
            <w:pPr>
              <w:jc w:val="center"/>
              <w:rPr>
                <w:sz w:val="20"/>
                <w:szCs w:val="20"/>
              </w:rPr>
            </w:pPr>
            <w:r w:rsidRPr="00AA2347">
              <w:rPr>
                <w:sz w:val="20"/>
                <w:szCs w:val="20"/>
              </w:rPr>
              <w:t>1978-1995</w:t>
            </w:r>
          </w:p>
        </w:tc>
      </w:tr>
      <w:tr w:rsidR="000C53C2" w:rsidRPr="00AA2347" w:rsidTr="009B5ED1">
        <w:tc>
          <w:tcPr>
            <w:tcW w:w="3150" w:type="dxa"/>
          </w:tcPr>
          <w:p w:rsidR="000C53C2" w:rsidRPr="00AA2347" w:rsidRDefault="000C53C2" w:rsidP="009B5ED1">
            <w:pPr>
              <w:rPr>
                <w:sz w:val="20"/>
                <w:szCs w:val="20"/>
              </w:rPr>
            </w:pPr>
            <w:r w:rsidRPr="00AA2347">
              <w:rPr>
                <w:sz w:val="20"/>
                <w:szCs w:val="20"/>
              </w:rPr>
              <w:t xml:space="preserve"> Bonta &amp; Yessine (2005)</w:t>
            </w:r>
          </w:p>
        </w:tc>
        <w:tc>
          <w:tcPr>
            <w:tcW w:w="810" w:type="dxa"/>
          </w:tcPr>
          <w:p w:rsidR="000C53C2" w:rsidRPr="00AA2347" w:rsidRDefault="000C53C2" w:rsidP="009B5ED1">
            <w:pPr>
              <w:jc w:val="right"/>
              <w:rPr>
                <w:sz w:val="20"/>
                <w:szCs w:val="20"/>
                <w:highlight w:val="green"/>
              </w:rPr>
            </w:pPr>
            <w:r w:rsidRPr="00AA2347">
              <w:rPr>
                <w:sz w:val="20"/>
                <w:szCs w:val="20"/>
              </w:rPr>
              <w:t>132</w:t>
            </w:r>
          </w:p>
        </w:tc>
        <w:tc>
          <w:tcPr>
            <w:tcW w:w="1170" w:type="dxa"/>
          </w:tcPr>
          <w:p w:rsidR="000C53C2" w:rsidRPr="00AA2347" w:rsidRDefault="000C53C2" w:rsidP="009B5ED1">
            <w:pPr>
              <w:jc w:val="center"/>
              <w:rPr>
                <w:sz w:val="20"/>
                <w:szCs w:val="20"/>
              </w:rPr>
            </w:pPr>
            <w:r w:rsidRPr="00AA2347">
              <w:rPr>
                <w:sz w:val="20"/>
                <w:szCs w:val="20"/>
              </w:rPr>
              <w:t>40 (10)</w:t>
            </w:r>
          </w:p>
        </w:tc>
        <w:tc>
          <w:tcPr>
            <w:tcW w:w="1350" w:type="dxa"/>
          </w:tcPr>
          <w:p w:rsidR="000C53C2" w:rsidRPr="00AA2347" w:rsidRDefault="000C53C2" w:rsidP="009B5ED1">
            <w:pPr>
              <w:rPr>
                <w:sz w:val="20"/>
                <w:szCs w:val="20"/>
              </w:rPr>
            </w:pPr>
            <w:r w:rsidRPr="00AA2347">
              <w:rPr>
                <w:sz w:val="20"/>
                <w:szCs w:val="20"/>
              </w:rPr>
              <w:t>Canada</w:t>
            </w:r>
          </w:p>
        </w:tc>
        <w:tc>
          <w:tcPr>
            <w:tcW w:w="1350" w:type="dxa"/>
          </w:tcPr>
          <w:p w:rsidR="000C53C2" w:rsidRPr="00AA2347" w:rsidRDefault="000C53C2" w:rsidP="009B5ED1">
            <w:pPr>
              <w:jc w:val="center"/>
              <w:rPr>
                <w:sz w:val="20"/>
                <w:szCs w:val="20"/>
              </w:rPr>
            </w:pPr>
            <w:r w:rsidRPr="00AA2347">
              <w:rPr>
                <w:sz w:val="20"/>
                <w:szCs w:val="20"/>
              </w:rPr>
              <w:t>5.0 (2.2)</w:t>
            </w:r>
          </w:p>
        </w:tc>
        <w:tc>
          <w:tcPr>
            <w:tcW w:w="2880" w:type="dxa"/>
          </w:tcPr>
          <w:p w:rsidR="000C53C2" w:rsidRPr="00AA2347" w:rsidRDefault="000C53C2" w:rsidP="009B5ED1">
            <w:pPr>
              <w:rPr>
                <w:sz w:val="20"/>
                <w:szCs w:val="20"/>
              </w:rPr>
            </w:pPr>
            <w:r w:rsidRPr="00AA2347">
              <w:rPr>
                <w:sz w:val="20"/>
                <w:szCs w:val="20"/>
              </w:rPr>
              <w:t>Preselected high risk</w:t>
            </w:r>
          </w:p>
        </w:tc>
        <w:tc>
          <w:tcPr>
            <w:tcW w:w="1530" w:type="dxa"/>
            <w:vAlign w:val="center"/>
          </w:tcPr>
          <w:p w:rsidR="000C53C2" w:rsidRPr="00AA2347" w:rsidRDefault="000C53C2" w:rsidP="009B5ED1">
            <w:pPr>
              <w:jc w:val="center"/>
              <w:rPr>
                <w:sz w:val="20"/>
                <w:szCs w:val="20"/>
              </w:rPr>
            </w:pPr>
            <w:r w:rsidRPr="00AA2347">
              <w:rPr>
                <w:sz w:val="20"/>
                <w:szCs w:val="20"/>
              </w:rPr>
              <w:t>1992-2004</w:t>
            </w:r>
          </w:p>
        </w:tc>
      </w:tr>
      <w:tr w:rsidR="000C53C2" w:rsidRPr="00AA2347" w:rsidTr="009B5ED1">
        <w:tc>
          <w:tcPr>
            <w:tcW w:w="3150" w:type="dxa"/>
          </w:tcPr>
          <w:p w:rsidR="000C53C2" w:rsidRPr="00AA2347" w:rsidRDefault="000C53C2" w:rsidP="009B5ED1">
            <w:pPr>
              <w:rPr>
                <w:sz w:val="20"/>
                <w:szCs w:val="20"/>
              </w:rPr>
            </w:pPr>
            <w:r w:rsidRPr="00AA2347">
              <w:rPr>
                <w:sz w:val="20"/>
                <w:szCs w:val="20"/>
              </w:rPr>
              <w:t xml:space="preserve"> Haag (2005)</w:t>
            </w:r>
          </w:p>
        </w:tc>
        <w:tc>
          <w:tcPr>
            <w:tcW w:w="810" w:type="dxa"/>
          </w:tcPr>
          <w:p w:rsidR="000C53C2" w:rsidRPr="00AA2347" w:rsidRDefault="000C53C2" w:rsidP="009B5ED1">
            <w:pPr>
              <w:jc w:val="right"/>
              <w:rPr>
                <w:sz w:val="20"/>
                <w:szCs w:val="20"/>
                <w:highlight w:val="green"/>
              </w:rPr>
            </w:pPr>
            <w:r w:rsidRPr="00AA2347">
              <w:rPr>
                <w:sz w:val="20"/>
                <w:szCs w:val="20"/>
              </w:rPr>
              <w:t>198</w:t>
            </w:r>
          </w:p>
        </w:tc>
        <w:tc>
          <w:tcPr>
            <w:tcW w:w="1170" w:type="dxa"/>
          </w:tcPr>
          <w:p w:rsidR="000C53C2" w:rsidRPr="00AA2347" w:rsidRDefault="000C53C2" w:rsidP="009B5ED1">
            <w:pPr>
              <w:jc w:val="center"/>
              <w:rPr>
                <w:sz w:val="20"/>
                <w:szCs w:val="20"/>
              </w:rPr>
            </w:pPr>
            <w:r w:rsidRPr="00AA2347">
              <w:rPr>
                <w:sz w:val="20"/>
                <w:szCs w:val="20"/>
              </w:rPr>
              <w:t>37 (10)</w:t>
            </w:r>
          </w:p>
        </w:tc>
        <w:tc>
          <w:tcPr>
            <w:tcW w:w="1350" w:type="dxa"/>
          </w:tcPr>
          <w:p w:rsidR="000C53C2" w:rsidRPr="00AA2347" w:rsidRDefault="000C53C2" w:rsidP="009B5ED1">
            <w:pPr>
              <w:rPr>
                <w:sz w:val="20"/>
                <w:szCs w:val="20"/>
              </w:rPr>
            </w:pPr>
            <w:r w:rsidRPr="00AA2347">
              <w:rPr>
                <w:sz w:val="20"/>
                <w:szCs w:val="20"/>
              </w:rPr>
              <w:t>Canada</w:t>
            </w:r>
          </w:p>
        </w:tc>
        <w:tc>
          <w:tcPr>
            <w:tcW w:w="1350" w:type="dxa"/>
          </w:tcPr>
          <w:p w:rsidR="000C53C2" w:rsidRPr="00AA2347" w:rsidRDefault="000C53C2" w:rsidP="009B5ED1">
            <w:pPr>
              <w:jc w:val="center"/>
              <w:rPr>
                <w:sz w:val="20"/>
                <w:szCs w:val="20"/>
              </w:rPr>
            </w:pPr>
            <w:r w:rsidRPr="00AA2347">
              <w:rPr>
                <w:sz w:val="20"/>
                <w:szCs w:val="20"/>
              </w:rPr>
              <w:t>3.9 (2.3)</w:t>
            </w:r>
          </w:p>
        </w:tc>
        <w:tc>
          <w:tcPr>
            <w:tcW w:w="2880" w:type="dxa"/>
          </w:tcPr>
          <w:p w:rsidR="000C53C2" w:rsidRPr="00AA2347" w:rsidRDefault="000C53C2" w:rsidP="009B5ED1">
            <w:pPr>
              <w:rPr>
                <w:sz w:val="20"/>
                <w:szCs w:val="20"/>
              </w:rPr>
            </w:pPr>
            <w:r w:rsidRPr="00AA2347">
              <w:rPr>
                <w:sz w:val="20"/>
                <w:szCs w:val="20"/>
              </w:rPr>
              <w:t>Detained until end of sentence</w:t>
            </w:r>
          </w:p>
        </w:tc>
        <w:tc>
          <w:tcPr>
            <w:tcW w:w="1530" w:type="dxa"/>
            <w:vAlign w:val="center"/>
          </w:tcPr>
          <w:p w:rsidR="000C53C2" w:rsidRPr="00AA2347" w:rsidRDefault="000C53C2" w:rsidP="009B5ED1">
            <w:pPr>
              <w:jc w:val="center"/>
              <w:rPr>
                <w:sz w:val="20"/>
                <w:szCs w:val="20"/>
              </w:rPr>
            </w:pPr>
            <w:r w:rsidRPr="00AA2347">
              <w:rPr>
                <w:sz w:val="20"/>
                <w:szCs w:val="20"/>
              </w:rPr>
              <w:t>1995</w:t>
            </w:r>
          </w:p>
        </w:tc>
      </w:tr>
      <w:tr w:rsidR="000C53C2" w:rsidRPr="00AA2347" w:rsidTr="009B5ED1">
        <w:tc>
          <w:tcPr>
            <w:tcW w:w="3150" w:type="dxa"/>
          </w:tcPr>
          <w:p w:rsidR="000C53C2" w:rsidRPr="00AA2347" w:rsidRDefault="000C53C2" w:rsidP="009B5ED1">
            <w:pPr>
              <w:rPr>
                <w:sz w:val="20"/>
                <w:szCs w:val="20"/>
              </w:rPr>
            </w:pPr>
            <w:r w:rsidRPr="00AA2347">
              <w:rPr>
                <w:sz w:val="20"/>
                <w:szCs w:val="20"/>
              </w:rPr>
              <w:t xml:space="preserve"> Nicholaichuk (2001)</w:t>
            </w:r>
          </w:p>
        </w:tc>
        <w:tc>
          <w:tcPr>
            <w:tcW w:w="810" w:type="dxa"/>
          </w:tcPr>
          <w:p w:rsidR="000C53C2" w:rsidRPr="00AA2347" w:rsidRDefault="000C53C2" w:rsidP="009B5ED1">
            <w:pPr>
              <w:jc w:val="right"/>
              <w:rPr>
                <w:sz w:val="20"/>
                <w:szCs w:val="20"/>
                <w:highlight w:val="green"/>
              </w:rPr>
            </w:pPr>
            <w:r w:rsidRPr="00AA2347">
              <w:rPr>
                <w:sz w:val="20"/>
                <w:szCs w:val="20"/>
              </w:rPr>
              <w:t>272</w:t>
            </w:r>
          </w:p>
        </w:tc>
        <w:tc>
          <w:tcPr>
            <w:tcW w:w="1170" w:type="dxa"/>
          </w:tcPr>
          <w:p w:rsidR="000C53C2" w:rsidRPr="00AA2347" w:rsidRDefault="000C53C2" w:rsidP="009B5ED1">
            <w:pPr>
              <w:jc w:val="center"/>
              <w:rPr>
                <w:sz w:val="20"/>
                <w:szCs w:val="20"/>
              </w:rPr>
            </w:pPr>
            <w:r w:rsidRPr="00AA2347">
              <w:rPr>
                <w:sz w:val="20"/>
                <w:szCs w:val="20"/>
              </w:rPr>
              <w:t>35   (9)</w:t>
            </w:r>
          </w:p>
        </w:tc>
        <w:tc>
          <w:tcPr>
            <w:tcW w:w="1350" w:type="dxa"/>
          </w:tcPr>
          <w:p w:rsidR="000C53C2" w:rsidRPr="00AA2347" w:rsidRDefault="000C53C2" w:rsidP="009B5ED1">
            <w:pPr>
              <w:rPr>
                <w:sz w:val="20"/>
                <w:szCs w:val="20"/>
              </w:rPr>
            </w:pPr>
            <w:r w:rsidRPr="00AA2347">
              <w:rPr>
                <w:sz w:val="20"/>
                <w:szCs w:val="20"/>
              </w:rPr>
              <w:t>Canada</w:t>
            </w:r>
          </w:p>
        </w:tc>
        <w:tc>
          <w:tcPr>
            <w:tcW w:w="1350" w:type="dxa"/>
          </w:tcPr>
          <w:p w:rsidR="000C53C2" w:rsidRPr="00AA2347" w:rsidRDefault="000C53C2" w:rsidP="009B5ED1">
            <w:pPr>
              <w:jc w:val="center"/>
              <w:rPr>
                <w:sz w:val="20"/>
                <w:szCs w:val="20"/>
              </w:rPr>
            </w:pPr>
            <w:r w:rsidRPr="00AA2347">
              <w:rPr>
                <w:sz w:val="20"/>
                <w:szCs w:val="20"/>
              </w:rPr>
              <w:t>4.8 (2.4)</w:t>
            </w:r>
          </w:p>
        </w:tc>
        <w:tc>
          <w:tcPr>
            <w:tcW w:w="2880" w:type="dxa"/>
          </w:tcPr>
          <w:p w:rsidR="000C53C2" w:rsidRPr="00AA2347" w:rsidRDefault="000C53C2" w:rsidP="009B5ED1">
            <w:pPr>
              <w:rPr>
                <w:sz w:val="20"/>
                <w:szCs w:val="20"/>
              </w:rPr>
            </w:pPr>
            <w:r w:rsidRPr="00AA2347">
              <w:rPr>
                <w:sz w:val="20"/>
                <w:szCs w:val="20"/>
              </w:rPr>
              <w:t>High intensity treatment</w:t>
            </w:r>
          </w:p>
        </w:tc>
        <w:tc>
          <w:tcPr>
            <w:tcW w:w="1530" w:type="dxa"/>
            <w:vAlign w:val="center"/>
          </w:tcPr>
          <w:p w:rsidR="000C53C2" w:rsidRPr="00AA2347" w:rsidRDefault="000C53C2" w:rsidP="009B5ED1">
            <w:pPr>
              <w:jc w:val="center"/>
              <w:rPr>
                <w:sz w:val="20"/>
                <w:szCs w:val="20"/>
              </w:rPr>
            </w:pPr>
            <w:r w:rsidRPr="00AA2347">
              <w:rPr>
                <w:sz w:val="20"/>
                <w:szCs w:val="20"/>
              </w:rPr>
              <w:t>1983-1998</w:t>
            </w:r>
          </w:p>
        </w:tc>
      </w:tr>
      <w:tr w:rsidR="000C53C2" w:rsidRPr="00AA2347" w:rsidTr="009B5ED1">
        <w:tc>
          <w:tcPr>
            <w:tcW w:w="3150" w:type="dxa"/>
          </w:tcPr>
          <w:p w:rsidR="000C53C2" w:rsidRPr="00AA2347" w:rsidRDefault="000C53C2" w:rsidP="009B5ED1">
            <w:pPr>
              <w:rPr>
                <w:sz w:val="20"/>
                <w:szCs w:val="20"/>
                <w:lang w:val="fr-CA"/>
              </w:rPr>
            </w:pPr>
            <w:r w:rsidRPr="00AA2347">
              <w:rPr>
                <w:sz w:val="20"/>
                <w:szCs w:val="20"/>
                <w:lang w:val="fr-CA"/>
              </w:rPr>
              <w:t xml:space="preserve"> Wilson et al. (2007a &amp; b)</w:t>
            </w:r>
          </w:p>
          <w:p w:rsidR="000C53C2" w:rsidRPr="00AA2347" w:rsidRDefault="000C53C2" w:rsidP="009B5ED1">
            <w:pPr>
              <w:rPr>
                <w:sz w:val="20"/>
                <w:szCs w:val="20"/>
                <w:lang w:val="fr-CA"/>
              </w:rPr>
            </w:pPr>
          </w:p>
        </w:tc>
        <w:tc>
          <w:tcPr>
            <w:tcW w:w="810" w:type="dxa"/>
          </w:tcPr>
          <w:p w:rsidR="000C53C2" w:rsidRPr="00AA2347" w:rsidRDefault="000C53C2" w:rsidP="009B5ED1">
            <w:pPr>
              <w:jc w:val="right"/>
              <w:rPr>
                <w:sz w:val="20"/>
                <w:szCs w:val="20"/>
                <w:highlight w:val="green"/>
              </w:rPr>
            </w:pPr>
            <w:r w:rsidRPr="00AA2347">
              <w:rPr>
                <w:sz w:val="20"/>
                <w:szCs w:val="20"/>
              </w:rPr>
              <w:t>228</w:t>
            </w:r>
          </w:p>
        </w:tc>
        <w:tc>
          <w:tcPr>
            <w:tcW w:w="1170" w:type="dxa"/>
          </w:tcPr>
          <w:p w:rsidR="000C53C2" w:rsidRPr="00AA2347" w:rsidRDefault="000C53C2" w:rsidP="009B5ED1">
            <w:pPr>
              <w:jc w:val="center"/>
              <w:rPr>
                <w:sz w:val="20"/>
                <w:szCs w:val="20"/>
              </w:rPr>
            </w:pPr>
            <w:r w:rsidRPr="00AA2347">
              <w:rPr>
                <w:sz w:val="20"/>
                <w:szCs w:val="20"/>
              </w:rPr>
              <w:t>42 (11)</w:t>
            </w:r>
          </w:p>
        </w:tc>
        <w:tc>
          <w:tcPr>
            <w:tcW w:w="1350" w:type="dxa"/>
          </w:tcPr>
          <w:p w:rsidR="000C53C2" w:rsidRPr="00AA2347" w:rsidRDefault="000C53C2" w:rsidP="009B5ED1">
            <w:pPr>
              <w:rPr>
                <w:sz w:val="20"/>
                <w:szCs w:val="20"/>
              </w:rPr>
            </w:pPr>
            <w:r w:rsidRPr="00AA2347">
              <w:rPr>
                <w:sz w:val="20"/>
                <w:szCs w:val="20"/>
              </w:rPr>
              <w:t>Canada</w:t>
            </w:r>
          </w:p>
        </w:tc>
        <w:tc>
          <w:tcPr>
            <w:tcW w:w="1350" w:type="dxa"/>
          </w:tcPr>
          <w:p w:rsidR="000C53C2" w:rsidRPr="00AA2347" w:rsidRDefault="000C53C2" w:rsidP="009B5ED1">
            <w:pPr>
              <w:jc w:val="center"/>
              <w:rPr>
                <w:sz w:val="20"/>
                <w:szCs w:val="20"/>
              </w:rPr>
            </w:pPr>
            <w:r w:rsidRPr="00AA2347">
              <w:rPr>
                <w:sz w:val="20"/>
                <w:szCs w:val="20"/>
              </w:rPr>
              <w:t>5.1 (2.3)</w:t>
            </w:r>
          </w:p>
        </w:tc>
        <w:tc>
          <w:tcPr>
            <w:tcW w:w="2880" w:type="dxa"/>
          </w:tcPr>
          <w:p w:rsidR="000C53C2" w:rsidRPr="00AA2347" w:rsidRDefault="000C53C2" w:rsidP="009B5ED1">
            <w:pPr>
              <w:rPr>
                <w:sz w:val="20"/>
                <w:szCs w:val="20"/>
              </w:rPr>
            </w:pPr>
            <w:r w:rsidRPr="00AA2347">
              <w:rPr>
                <w:sz w:val="20"/>
                <w:szCs w:val="20"/>
              </w:rPr>
              <w:t>Preselected high risk</w:t>
            </w:r>
          </w:p>
        </w:tc>
        <w:tc>
          <w:tcPr>
            <w:tcW w:w="1530" w:type="dxa"/>
            <w:vAlign w:val="center"/>
          </w:tcPr>
          <w:p w:rsidR="000C53C2" w:rsidRPr="00AA2347" w:rsidRDefault="000C53C2" w:rsidP="009B5ED1">
            <w:pPr>
              <w:jc w:val="center"/>
              <w:rPr>
                <w:sz w:val="20"/>
                <w:szCs w:val="20"/>
              </w:rPr>
            </w:pPr>
            <w:r w:rsidRPr="00AA2347">
              <w:rPr>
                <w:sz w:val="20"/>
                <w:szCs w:val="20"/>
              </w:rPr>
              <w:t>1994 -2006</w:t>
            </w:r>
          </w:p>
        </w:tc>
      </w:tr>
      <w:tr w:rsidR="000C53C2" w:rsidRPr="00AA2347" w:rsidTr="009B5ED1">
        <w:tc>
          <w:tcPr>
            <w:tcW w:w="3150" w:type="dxa"/>
          </w:tcPr>
          <w:p w:rsidR="000C53C2" w:rsidRPr="00AA2347" w:rsidRDefault="000C53C2" w:rsidP="009B5ED1">
            <w:pPr>
              <w:rPr>
                <w:b/>
                <w:sz w:val="20"/>
                <w:szCs w:val="20"/>
                <w:lang w:val="fr-CA"/>
              </w:rPr>
            </w:pPr>
            <w:r w:rsidRPr="00AA2347">
              <w:rPr>
                <w:b/>
                <w:sz w:val="20"/>
                <w:szCs w:val="20"/>
                <w:lang w:val="fr-CA"/>
              </w:rPr>
              <w:t>Other</w:t>
            </w:r>
          </w:p>
        </w:tc>
        <w:tc>
          <w:tcPr>
            <w:tcW w:w="810" w:type="dxa"/>
          </w:tcPr>
          <w:p w:rsidR="000C53C2" w:rsidRPr="00AA2347" w:rsidRDefault="000C53C2" w:rsidP="009B5ED1">
            <w:pPr>
              <w:jc w:val="right"/>
              <w:rPr>
                <w:sz w:val="20"/>
                <w:szCs w:val="20"/>
                <w:highlight w:val="green"/>
              </w:rPr>
            </w:pPr>
          </w:p>
        </w:tc>
        <w:tc>
          <w:tcPr>
            <w:tcW w:w="1170" w:type="dxa"/>
          </w:tcPr>
          <w:p w:rsidR="000C53C2" w:rsidRPr="00AA2347" w:rsidRDefault="000C53C2" w:rsidP="009B5ED1">
            <w:pPr>
              <w:jc w:val="center"/>
              <w:rPr>
                <w:sz w:val="20"/>
                <w:szCs w:val="20"/>
              </w:rPr>
            </w:pPr>
          </w:p>
        </w:tc>
        <w:tc>
          <w:tcPr>
            <w:tcW w:w="1350" w:type="dxa"/>
          </w:tcPr>
          <w:p w:rsidR="000C53C2" w:rsidRPr="00AA2347" w:rsidRDefault="000C53C2" w:rsidP="009B5ED1">
            <w:pPr>
              <w:rPr>
                <w:sz w:val="20"/>
                <w:szCs w:val="20"/>
              </w:rPr>
            </w:pPr>
          </w:p>
        </w:tc>
        <w:tc>
          <w:tcPr>
            <w:tcW w:w="1350" w:type="dxa"/>
          </w:tcPr>
          <w:p w:rsidR="000C53C2" w:rsidRPr="00AA2347" w:rsidRDefault="000C53C2" w:rsidP="009B5ED1">
            <w:pPr>
              <w:rPr>
                <w:sz w:val="20"/>
                <w:szCs w:val="20"/>
              </w:rPr>
            </w:pPr>
          </w:p>
        </w:tc>
        <w:tc>
          <w:tcPr>
            <w:tcW w:w="2880" w:type="dxa"/>
          </w:tcPr>
          <w:p w:rsidR="000C53C2" w:rsidRPr="00AA2347" w:rsidRDefault="000C53C2" w:rsidP="009B5ED1">
            <w:pPr>
              <w:rPr>
                <w:sz w:val="20"/>
                <w:szCs w:val="20"/>
              </w:rPr>
            </w:pPr>
          </w:p>
        </w:tc>
        <w:tc>
          <w:tcPr>
            <w:tcW w:w="1530" w:type="dxa"/>
            <w:vAlign w:val="center"/>
          </w:tcPr>
          <w:p w:rsidR="000C53C2" w:rsidRPr="00AA2347" w:rsidRDefault="000C53C2" w:rsidP="009B5ED1">
            <w:pPr>
              <w:jc w:val="center"/>
              <w:rPr>
                <w:sz w:val="20"/>
                <w:szCs w:val="20"/>
              </w:rPr>
            </w:pPr>
          </w:p>
        </w:tc>
      </w:tr>
      <w:tr w:rsidR="000C53C2" w:rsidRPr="00AA2347" w:rsidTr="009B5ED1">
        <w:tc>
          <w:tcPr>
            <w:tcW w:w="3150" w:type="dxa"/>
          </w:tcPr>
          <w:p w:rsidR="000C53C2" w:rsidRPr="00AA2347" w:rsidRDefault="000C53C2" w:rsidP="009B5ED1">
            <w:pPr>
              <w:rPr>
                <w:sz w:val="20"/>
                <w:szCs w:val="20"/>
                <w:lang w:val="fr-CA"/>
              </w:rPr>
            </w:pPr>
            <w:r w:rsidRPr="00AA2347">
              <w:rPr>
                <w:sz w:val="20"/>
                <w:szCs w:val="20"/>
                <w:lang w:val="fr-CA"/>
              </w:rPr>
              <w:t xml:space="preserve"> Cortoni &amp; Nunes (2008)</w:t>
            </w:r>
          </w:p>
        </w:tc>
        <w:tc>
          <w:tcPr>
            <w:tcW w:w="810" w:type="dxa"/>
          </w:tcPr>
          <w:p w:rsidR="000C53C2" w:rsidRPr="00AA2347" w:rsidRDefault="000C53C2" w:rsidP="009B5ED1">
            <w:pPr>
              <w:jc w:val="right"/>
              <w:rPr>
                <w:sz w:val="20"/>
                <w:szCs w:val="20"/>
                <w:highlight w:val="green"/>
              </w:rPr>
            </w:pPr>
            <w:r w:rsidRPr="00AA2347">
              <w:rPr>
                <w:sz w:val="20"/>
                <w:szCs w:val="20"/>
              </w:rPr>
              <w:t>73</w:t>
            </w:r>
          </w:p>
        </w:tc>
        <w:tc>
          <w:tcPr>
            <w:tcW w:w="1170" w:type="dxa"/>
          </w:tcPr>
          <w:p w:rsidR="000C53C2" w:rsidRPr="00AA2347" w:rsidRDefault="000C53C2" w:rsidP="009B5ED1">
            <w:pPr>
              <w:jc w:val="center"/>
              <w:rPr>
                <w:sz w:val="20"/>
                <w:szCs w:val="20"/>
              </w:rPr>
            </w:pPr>
            <w:r w:rsidRPr="00AA2347">
              <w:rPr>
                <w:sz w:val="20"/>
                <w:szCs w:val="20"/>
              </w:rPr>
              <w:t>42 (12)</w:t>
            </w:r>
          </w:p>
        </w:tc>
        <w:tc>
          <w:tcPr>
            <w:tcW w:w="1350" w:type="dxa"/>
          </w:tcPr>
          <w:p w:rsidR="000C53C2" w:rsidRPr="00AA2347" w:rsidRDefault="000C53C2" w:rsidP="009B5ED1">
            <w:pPr>
              <w:rPr>
                <w:sz w:val="20"/>
                <w:szCs w:val="20"/>
              </w:rPr>
            </w:pPr>
            <w:r w:rsidRPr="00AA2347">
              <w:rPr>
                <w:sz w:val="20"/>
                <w:szCs w:val="20"/>
              </w:rPr>
              <w:t>Canada</w:t>
            </w:r>
          </w:p>
        </w:tc>
        <w:tc>
          <w:tcPr>
            <w:tcW w:w="1350" w:type="dxa"/>
          </w:tcPr>
          <w:p w:rsidR="000C53C2" w:rsidRPr="00AA2347" w:rsidRDefault="000C53C2" w:rsidP="009B5ED1">
            <w:pPr>
              <w:jc w:val="center"/>
              <w:rPr>
                <w:sz w:val="20"/>
                <w:szCs w:val="20"/>
              </w:rPr>
            </w:pPr>
            <w:r w:rsidRPr="00AA2347">
              <w:rPr>
                <w:sz w:val="20"/>
                <w:szCs w:val="20"/>
              </w:rPr>
              <w:t>2.2 (2.1)</w:t>
            </w:r>
          </w:p>
        </w:tc>
        <w:tc>
          <w:tcPr>
            <w:tcW w:w="2880" w:type="dxa"/>
          </w:tcPr>
          <w:p w:rsidR="000C53C2" w:rsidRPr="00AA2347" w:rsidRDefault="000C53C2" w:rsidP="009B5ED1">
            <w:pPr>
              <w:rPr>
                <w:sz w:val="20"/>
                <w:szCs w:val="20"/>
              </w:rPr>
            </w:pPr>
            <w:r w:rsidRPr="00AA2347">
              <w:rPr>
                <w:sz w:val="20"/>
                <w:szCs w:val="20"/>
              </w:rPr>
              <w:t>CSC low intensity treatment</w:t>
            </w:r>
          </w:p>
        </w:tc>
        <w:tc>
          <w:tcPr>
            <w:tcW w:w="1530" w:type="dxa"/>
            <w:vAlign w:val="center"/>
          </w:tcPr>
          <w:p w:rsidR="000C53C2" w:rsidRPr="00AA2347" w:rsidRDefault="000C53C2" w:rsidP="009B5ED1">
            <w:pPr>
              <w:jc w:val="center"/>
              <w:rPr>
                <w:sz w:val="20"/>
                <w:szCs w:val="20"/>
              </w:rPr>
            </w:pPr>
            <w:r w:rsidRPr="00AA2347">
              <w:rPr>
                <w:sz w:val="20"/>
                <w:szCs w:val="20"/>
              </w:rPr>
              <w:t>2001-2004</w:t>
            </w:r>
          </w:p>
        </w:tc>
      </w:tr>
      <w:tr w:rsidR="000C53C2" w:rsidRPr="00AA2347" w:rsidTr="009B5ED1">
        <w:tc>
          <w:tcPr>
            <w:tcW w:w="3150" w:type="dxa"/>
          </w:tcPr>
          <w:p w:rsidR="000C53C2" w:rsidRPr="00AA2347" w:rsidRDefault="000C53C2" w:rsidP="009B5ED1">
            <w:pPr>
              <w:rPr>
                <w:sz w:val="20"/>
                <w:szCs w:val="20"/>
              </w:rPr>
            </w:pPr>
            <w:r w:rsidRPr="00AA2347">
              <w:rPr>
                <w:sz w:val="20"/>
                <w:szCs w:val="20"/>
              </w:rPr>
              <w:t xml:space="preserve"> Hill et al. (2008)</w:t>
            </w:r>
          </w:p>
        </w:tc>
        <w:tc>
          <w:tcPr>
            <w:tcW w:w="810" w:type="dxa"/>
          </w:tcPr>
          <w:p w:rsidR="000C53C2" w:rsidRPr="00AA2347" w:rsidRDefault="000C53C2" w:rsidP="009B5ED1">
            <w:pPr>
              <w:jc w:val="right"/>
              <w:rPr>
                <w:sz w:val="20"/>
                <w:szCs w:val="20"/>
              </w:rPr>
            </w:pPr>
            <w:r w:rsidRPr="00AA2347">
              <w:rPr>
                <w:sz w:val="20"/>
                <w:szCs w:val="20"/>
              </w:rPr>
              <w:t>86</w:t>
            </w:r>
          </w:p>
        </w:tc>
        <w:tc>
          <w:tcPr>
            <w:tcW w:w="1170" w:type="dxa"/>
          </w:tcPr>
          <w:p w:rsidR="000C53C2" w:rsidRPr="00AA2347" w:rsidRDefault="000C53C2" w:rsidP="009B5ED1">
            <w:pPr>
              <w:jc w:val="center"/>
              <w:rPr>
                <w:sz w:val="20"/>
                <w:szCs w:val="20"/>
              </w:rPr>
            </w:pPr>
            <w:r w:rsidRPr="00AA2347">
              <w:rPr>
                <w:sz w:val="20"/>
                <w:szCs w:val="20"/>
              </w:rPr>
              <w:t>39 (11)</w:t>
            </w:r>
          </w:p>
        </w:tc>
        <w:tc>
          <w:tcPr>
            <w:tcW w:w="1350" w:type="dxa"/>
          </w:tcPr>
          <w:p w:rsidR="000C53C2" w:rsidRPr="00AA2347" w:rsidRDefault="000C53C2" w:rsidP="009B5ED1">
            <w:pPr>
              <w:rPr>
                <w:sz w:val="20"/>
                <w:szCs w:val="20"/>
              </w:rPr>
            </w:pPr>
            <w:r w:rsidRPr="00AA2347">
              <w:rPr>
                <w:sz w:val="20"/>
                <w:szCs w:val="20"/>
              </w:rPr>
              <w:t>Germany</w:t>
            </w:r>
          </w:p>
        </w:tc>
        <w:tc>
          <w:tcPr>
            <w:tcW w:w="1350" w:type="dxa"/>
          </w:tcPr>
          <w:p w:rsidR="000C53C2" w:rsidRPr="00AA2347" w:rsidRDefault="000C53C2" w:rsidP="009B5ED1">
            <w:pPr>
              <w:jc w:val="center"/>
              <w:rPr>
                <w:sz w:val="20"/>
                <w:szCs w:val="20"/>
              </w:rPr>
            </w:pPr>
            <w:r w:rsidRPr="00AA2347">
              <w:rPr>
                <w:sz w:val="20"/>
                <w:szCs w:val="20"/>
              </w:rPr>
              <w:t>4.7 (2.0)</w:t>
            </w:r>
          </w:p>
        </w:tc>
        <w:tc>
          <w:tcPr>
            <w:tcW w:w="2880" w:type="dxa"/>
          </w:tcPr>
          <w:p w:rsidR="000C53C2" w:rsidRPr="00AA2347" w:rsidRDefault="000C53C2" w:rsidP="009B5ED1">
            <w:pPr>
              <w:rPr>
                <w:sz w:val="20"/>
                <w:szCs w:val="20"/>
              </w:rPr>
            </w:pPr>
            <w:r w:rsidRPr="00AA2347">
              <w:rPr>
                <w:sz w:val="20"/>
                <w:szCs w:val="20"/>
              </w:rPr>
              <w:t>Sexual homicide perpetrators</w:t>
            </w:r>
          </w:p>
        </w:tc>
        <w:tc>
          <w:tcPr>
            <w:tcW w:w="1530" w:type="dxa"/>
          </w:tcPr>
          <w:p w:rsidR="000C53C2" w:rsidRPr="00AA2347" w:rsidRDefault="000C53C2" w:rsidP="009B5ED1">
            <w:pPr>
              <w:jc w:val="center"/>
              <w:rPr>
                <w:sz w:val="20"/>
                <w:szCs w:val="20"/>
              </w:rPr>
            </w:pPr>
            <w:r w:rsidRPr="00AA2347">
              <w:rPr>
                <w:sz w:val="20"/>
                <w:szCs w:val="20"/>
              </w:rPr>
              <w:t>1971-2002</w:t>
            </w:r>
          </w:p>
        </w:tc>
      </w:tr>
      <w:tr w:rsidR="000C53C2" w:rsidRPr="00AA2347" w:rsidTr="009B5ED1">
        <w:trPr>
          <w:trHeight w:val="333"/>
        </w:trPr>
        <w:tc>
          <w:tcPr>
            <w:tcW w:w="3150" w:type="dxa"/>
            <w:tcBorders>
              <w:bottom w:val="single" w:sz="12" w:space="0" w:color="auto"/>
            </w:tcBorders>
            <w:vAlign w:val="center"/>
          </w:tcPr>
          <w:p w:rsidR="000C53C2" w:rsidRPr="00AA2347" w:rsidRDefault="000C53C2" w:rsidP="009B5ED1">
            <w:pPr>
              <w:rPr>
                <w:b/>
                <w:sz w:val="20"/>
                <w:szCs w:val="20"/>
              </w:rPr>
            </w:pPr>
            <w:r w:rsidRPr="00AA2347">
              <w:rPr>
                <w:b/>
                <w:sz w:val="20"/>
                <w:szCs w:val="20"/>
              </w:rPr>
              <w:t>Total</w:t>
            </w:r>
          </w:p>
        </w:tc>
        <w:tc>
          <w:tcPr>
            <w:tcW w:w="810" w:type="dxa"/>
            <w:tcBorders>
              <w:bottom w:val="single" w:sz="12" w:space="0" w:color="auto"/>
            </w:tcBorders>
            <w:vAlign w:val="center"/>
          </w:tcPr>
          <w:p w:rsidR="000C53C2" w:rsidRPr="00AA2347" w:rsidRDefault="000C53C2" w:rsidP="009B5ED1">
            <w:pPr>
              <w:jc w:val="right"/>
              <w:rPr>
                <w:sz w:val="20"/>
                <w:szCs w:val="20"/>
              </w:rPr>
            </w:pPr>
            <w:r w:rsidRPr="00AA2347">
              <w:rPr>
                <w:sz w:val="20"/>
                <w:szCs w:val="20"/>
              </w:rPr>
              <w:t>7,225</w:t>
            </w:r>
          </w:p>
        </w:tc>
        <w:tc>
          <w:tcPr>
            <w:tcW w:w="1170" w:type="dxa"/>
            <w:tcBorders>
              <w:bottom w:val="single" w:sz="12" w:space="0" w:color="auto"/>
            </w:tcBorders>
            <w:vAlign w:val="center"/>
          </w:tcPr>
          <w:p w:rsidR="000C53C2" w:rsidRPr="00AA2347" w:rsidRDefault="000C53C2" w:rsidP="009B5ED1">
            <w:pPr>
              <w:jc w:val="center"/>
              <w:rPr>
                <w:sz w:val="20"/>
                <w:szCs w:val="20"/>
              </w:rPr>
            </w:pPr>
            <w:r w:rsidRPr="00AA2347">
              <w:rPr>
                <w:sz w:val="20"/>
                <w:szCs w:val="20"/>
              </w:rPr>
              <w:t>40 (12)</w:t>
            </w:r>
          </w:p>
        </w:tc>
        <w:tc>
          <w:tcPr>
            <w:tcW w:w="1350" w:type="dxa"/>
            <w:tcBorders>
              <w:bottom w:val="single" w:sz="12" w:space="0" w:color="auto"/>
            </w:tcBorders>
            <w:vAlign w:val="center"/>
          </w:tcPr>
          <w:p w:rsidR="000C53C2" w:rsidRPr="00AA2347" w:rsidRDefault="000C53C2" w:rsidP="009B5ED1">
            <w:pPr>
              <w:jc w:val="center"/>
              <w:rPr>
                <w:sz w:val="20"/>
                <w:szCs w:val="20"/>
              </w:rPr>
            </w:pPr>
            <w:r w:rsidRPr="00AA2347">
              <w:rPr>
                <w:sz w:val="20"/>
                <w:szCs w:val="20"/>
              </w:rPr>
              <w:t>-</w:t>
            </w:r>
          </w:p>
        </w:tc>
        <w:tc>
          <w:tcPr>
            <w:tcW w:w="1350" w:type="dxa"/>
            <w:tcBorders>
              <w:bottom w:val="single" w:sz="12" w:space="0" w:color="auto"/>
            </w:tcBorders>
            <w:vAlign w:val="center"/>
          </w:tcPr>
          <w:p w:rsidR="000C53C2" w:rsidRPr="00AA2347" w:rsidRDefault="000C53C2" w:rsidP="009B5ED1">
            <w:pPr>
              <w:jc w:val="center"/>
              <w:rPr>
                <w:sz w:val="20"/>
                <w:szCs w:val="20"/>
              </w:rPr>
            </w:pPr>
            <w:r w:rsidRPr="00AA2347">
              <w:rPr>
                <w:sz w:val="20"/>
                <w:szCs w:val="20"/>
              </w:rPr>
              <w:t>2.6 (2.6)</w:t>
            </w:r>
          </w:p>
        </w:tc>
        <w:tc>
          <w:tcPr>
            <w:tcW w:w="2880" w:type="dxa"/>
            <w:tcBorders>
              <w:bottom w:val="single" w:sz="12" w:space="0" w:color="auto"/>
            </w:tcBorders>
            <w:vAlign w:val="center"/>
          </w:tcPr>
          <w:p w:rsidR="000C53C2" w:rsidRPr="00AA2347" w:rsidRDefault="000C53C2" w:rsidP="009B5ED1">
            <w:pPr>
              <w:jc w:val="center"/>
              <w:rPr>
                <w:sz w:val="20"/>
                <w:szCs w:val="20"/>
              </w:rPr>
            </w:pPr>
            <w:r w:rsidRPr="00AA2347">
              <w:rPr>
                <w:sz w:val="20"/>
                <w:szCs w:val="20"/>
              </w:rPr>
              <w:t>-</w:t>
            </w:r>
          </w:p>
        </w:tc>
        <w:tc>
          <w:tcPr>
            <w:tcW w:w="1530" w:type="dxa"/>
            <w:tcBorders>
              <w:bottom w:val="single" w:sz="12" w:space="0" w:color="auto"/>
            </w:tcBorders>
            <w:vAlign w:val="center"/>
          </w:tcPr>
          <w:p w:rsidR="000C53C2" w:rsidRPr="00AA2347" w:rsidRDefault="000C53C2" w:rsidP="009B5ED1">
            <w:pPr>
              <w:jc w:val="center"/>
              <w:rPr>
                <w:sz w:val="20"/>
                <w:szCs w:val="20"/>
              </w:rPr>
            </w:pPr>
            <w:r w:rsidRPr="00AA2347">
              <w:rPr>
                <w:sz w:val="20"/>
                <w:szCs w:val="20"/>
              </w:rPr>
              <w:t>1971-2007</w:t>
            </w:r>
          </w:p>
        </w:tc>
      </w:tr>
    </w:tbl>
    <w:p w:rsidR="000C53C2" w:rsidRPr="00AA2347" w:rsidRDefault="000C53C2" w:rsidP="000C53C2">
      <w:pPr>
        <w:pStyle w:val="Table"/>
        <w:spacing w:line="240" w:lineRule="auto"/>
        <w:rPr>
          <w:sz w:val="16"/>
          <w:szCs w:val="16"/>
          <w:lang w:val="en-CA"/>
        </w:rPr>
        <w:sectPr w:rsidR="000C53C2" w:rsidRPr="00AA2347" w:rsidSect="00A03C97">
          <w:headerReference w:type="even" r:id="rId16"/>
          <w:pgSz w:w="15840" w:h="12240" w:orient="landscape"/>
          <w:pgMar w:top="1800" w:right="1440" w:bottom="1800" w:left="1440" w:header="706" w:footer="706" w:gutter="0"/>
          <w:cols w:space="708"/>
          <w:docGrid w:linePitch="360"/>
        </w:sectPr>
      </w:pPr>
      <w:r w:rsidRPr="00AA2347">
        <w:rPr>
          <w:i/>
          <w:sz w:val="18"/>
          <w:szCs w:val="18"/>
          <w:lang w:val="en-CA"/>
        </w:rPr>
        <w:t xml:space="preserve">  Note</w:t>
      </w:r>
      <w:r w:rsidRPr="00AA2347">
        <w:rPr>
          <w:sz w:val="18"/>
          <w:szCs w:val="18"/>
          <w:lang w:val="en-CA"/>
        </w:rPr>
        <w:t>. CSC = Correctional Service Canada (administers all sentences of at least two years).</w:t>
      </w:r>
    </w:p>
    <w:p w:rsidR="000C53C2" w:rsidRPr="00AA2347" w:rsidRDefault="000C53C2" w:rsidP="000C53C2">
      <w:pPr>
        <w:pStyle w:val="Table"/>
        <w:spacing w:line="240" w:lineRule="auto"/>
        <w:rPr>
          <w:sz w:val="20"/>
          <w:szCs w:val="20"/>
          <w:lang w:val="en-CA"/>
        </w:rPr>
      </w:pPr>
      <w:r w:rsidRPr="00AA2347">
        <w:rPr>
          <w:sz w:val="20"/>
          <w:szCs w:val="20"/>
          <w:lang w:val="en-CA"/>
        </w:rPr>
        <w:t>Table 2</w:t>
      </w:r>
      <w:r>
        <w:rPr>
          <w:sz w:val="20"/>
          <w:szCs w:val="20"/>
          <w:lang w:val="en-CA"/>
        </w:rPr>
        <w:t xml:space="preserve">. </w:t>
      </w:r>
      <w:r w:rsidRPr="00AA2347">
        <w:rPr>
          <w:sz w:val="20"/>
          <w:szCs w:val="20"/>
          <w:lang w:val="en-CA"/>
        </w:rPr>
        <w:t>Recidivism Information</w:t>
      </w:r>
    </w:p>
    <w:p w:rsidR="000C53C2" w:rsidRPr="00AA2347" w:rsidRDefault="000C53C2" w:rsidP="000C53C2">
      <w:pPr>
        <w:pStyle w:val="Table"/>
        <w:spacing w:line="240" w:lineRule="auto"/>
        <w:rPr>
          <w:i/>
          <w:sz w:val="20"/>
          <w:szCs w:val="20"/>
          <w:lang w:val="en-CA"/>
        </w:rPr>
      </w:pPr>
    </w:p>
    <w:tbl>
      <w:tblPr>
        <w:tblW w:w="0" w:type="auto"/>
        <w:tblLook w:val="0000" w:firstRow="0" w:lastRow="0" w:firstColumn="0" w:lastColumn="0" w:noHBand="0" w:noVBand="0"/>
      </w:tblPr>
      <w:tblGrid>
        <w:gridCol w:w="3110"/>
        <w:gridCol w:w="1788"/>
        <w:gridCol w:w="1094"/>
        <w:gridCol w:w="666"/>
        <w:gridCol w:w="1033"/>
        <w:gridCol w:w="945"/>
        <w:gridCol w:w="1465"/>
      </w:tblGrid>
      <w:tr w:rsidR="000C53C2" w:rsidRPr="00AA2347" w:rsidTr="009B5ED1">
        <w:trPr>
          <w:trHeight w:val="447"/>
        </w:trPr>
        <w:tc>
          <w:tcPr>
            <w:tcW w:w="0" w:type="auto"/>
            <w:vMerge w:val="restart"/>
            <w:tcBorders>
              <w:top w:val="single" w:sz="12" w:space="0" w:color="auto"/>
            </w:tcBorders>
            <w:vAlign w:val="center"/>
          </w:tcPr>
          <w:p w:rsidR="000C53C2" w:rsidRPr="00AA2347" w:rsidRDefault="000C53C2" w:rsidP="009B5ED1">
            <w:pPr>
              <w:jc w:val="center"/>
              <w:rPr>
                <w:sz w:val="20"/>
                <w:szCs w:val="20"/>
              </w:rPr>
            </w:pPr>
          </w:p>
        </w:tc>
        <w:tc>
          <w:tcPr>
            <w:tcW w:w="0" w:type="auto"/>
            <w:vMerge w:val="restart"/>
            <w:tcBorders>
              <w:top w:val="single" w:sz="12" w:space="0" w:color="auto"/>
            </w:tcBorders>
            <w:vAlign w:val="center"/>
          </w:tcPr>
          <w:p w:rsidR="000C53C2" w:rsidRPr="00AA2347" w:rsidRDefault="000C53C2" w:rsidP="009B5ED1">
            <w:pPr>
              <w:jc w:val="center"/>
              <w:rPr>
                <w:sz w:val="20"/>
                <w:szCs w:val="20"/>
              </w:rPr>
            </w:pPr>
          </w:p>
          <w:p w:rsidR="000C53C2" w:rsidRPr="00AA2347" w:rsidRDefault="000C53C2" w:rsidP="009B5ED1">
            <w:pPr>
              <w:jc w:val="center"/>
              <w:rPr>
                <w:sz w:val="20"/>
                <w:szCs w:val="20"/>
              </w:rPr>
            </w:pPr>
          </w:p>
          <w:p w:rsidR="000C53C2" w:rsidRPr="00AA2347" w:rsidRDefault="000C53C2" w:rsidP="009B5ED1">
            <w:pPr>
              <w:jc w:val="center"/>
              <w:rPr>
                <w:sz w:val="20"/>
                <w:szCs w:val="20"/>
              </w:rPr>
            </w:pPr>
          </w:p>
          <w:p w:rsidR="000C53C2" w:rsidRPr="00AA2347" w:rsidRDefault="000C53C2" w:rsidP="009B5ED1">
            <w:pPr>
              <w:jc w:val="center"/>
              <w:rPr>
                <w:sz w:val="20"/>
                <w:szCs w:val="20"/>
              </w:rPr>
            </w:pPr>
            <w:r w:rsidRPr="00AA2347">
              <w:rPr>
                <w:sz w:val="20"/>
                <w:szCs w:val="20"/>
              </w:rPr>
              <w:t>Recidivism Criteria</w:t>
            </w:r>
          </w:p>
        </w:tc>
        <w:tc>
          <w:tcPr>
            <w:tcW w:w="0" w:type="auto"/>
            <w:vMerge w:val="restart"/>
            <w:tcBorders>
              <w:top w:val="single" w:sz="12" w:space="0" w:color="auto"/>
            </w:tcBorders>
            <w:vAlign w:val="center"/>
          </w:tcPr>
          <w:p w:rsidR="000C53C2" w:rsidRPr="00AA2347" w:rsidRDefault="000C53C2" w:rsidP="009B5ED1">
            <w:pPr>
              <w:jc w:val="center"/>
              <w:rPr>
                <w:sz w:val="20"/>
                <w:szCs w:val="20"/>
              </w:rPr>
            </w:pPr>
          </w:p>
          <w:p w:rsidR="000C53C2" w:rsidRPr="00AA2347" w:rsidRDefault="000C53C2" w:rsidP="009B5ED1">
            <w:pPr>
              <w:jc w:val="center"/>
              <w:rPr>
                <w:sz w:val="20"/>
                <w:szCs w:val="20"/>
              </w:rPr>
            </w:pPr>
          </w:p>
          <w:p w:rsidR="000C53C2" w:rsidRPr="00AA2347" w:rsidRDefault="000C53C2" w:rsidP="009B5ED1">
            <w:pPr>
              <w:jc w:val="center"/>
              <w:rPr>
                <w:sz w:val="20"/>
                <w:szCs w:val="20"/>
              </w:rPr>
            </w:pPr>
            <w:r w:rsidRPr="00AA2347">
              <w:rPr>
                <w:sz w:val="20"/>
                <w:szCs w:val="20"/>
              </w:rPr>
              <w:t>Years</w:t>
            </w:r>
          </w:p>
          <w:p w:rsidR="000C53C2" w:rsidRPr="00AA2347" w:rsidRDefault="000C53C2" w:rsidP="009B5ED1">
            <w:pPr>
              <w:jc w:val="center"/>
              <w:rPr>
                <w:sz w:val="20"/>
                <w:szCs w:val="20"/>
              </w:rPr>
            </w:pPr>
            <w:r w:rsidRPr="00AA2347">
              <w:rPr>
                <w:sz w:val="20"/>
                <w:szCs w:val="20"/>
              </w:rPr>
              <w:t>Follow-Up</w:t>
            </w:r>
          </w:p>
          <w:p w:rsidR="000C53C2" w:rsidRPr="00AA2347" w:rsidRDefault="000C53C2" w:rsidP="009B5ED1">
            <w:pPr>
              <w:jc w:val="center"/>
              <w:rPr>
                <w:sz w:val="20"/>
                <w:szCs w:val="20"/>
              </w:rPr>
            </w:pPr>
            <w:r w:rsidRPr="00AA2347">
              <w:rPr>
                <w:i/>
                <w:sz w:val="20"/>
                <w:szCs w:val="20"/>
              </w:rPr>
              <w:t>M</w:t>
            </w:r>
            <w:r w:rsidRPr="00AA2347">
              <w:rPr>
                <w:sz w:val="20"/>
                <w:szCs w:val="20"/>
              </w:rPr>
              <w:t xml:space="preserve"> (</w:t>
            </w:r>
            <w:r w:rsidRPr="00AA2347">
              <w:rPr>
                <w:i/>
                <w:sz w:val="20"/>
                <w:szCs w:val="20"/>
              </w:rPr>
              <w:t>SD</w:t>
            </w:r>
            <w:r w:rsidRPr="00AA2347">
              <w:rPr>
                <w:sz w:val="20"/>
                <w:szCs w:val="20"/>
              </w:rPr>
              <w:t>)</w:t>
            </w:r>
          </w:p>
        </w:tc>
        <w:tc>
          <w:tcPr>
            <w:tcW w:w="0" w:type="auto"/>
            <w:gridSpan w:val="4"/>
            <w:tcBorders>
              <w:top w:val="single" w:sz="12" w:space="0" w:color="auto"/>
            </w:tcBorders>
            <w:vAlign w:val="center"/>
          </w:tcPr>
          <w:p w:rsidR="000C53C2" w:rsidRPr="00AA2347" w:rsidRDefault="000C53C2" w:rsidP="009B5ED1">
            <w:pPr>
              <w:jc w:val="center"/>
              <w:rPr>
                <w:sz w:val="20"/>
                <w:szCs w:val="20"/>
              </w:rPr>
            </w:pPr>
          </w:p>
          <w:p w:rsidR="000C53C2" w:rsidRPr="00AA2347" w:rsidRDefault="000C53C2" w:rsidP="009B5ED1">
            <w:pPr>
              <w:jc w:val="center"/>
              <w:rPr>
                <w:sz w:val="20"/>
                <w:szCs w:val="20"/>
              </w:rPr>
            </w:pPr>
            <w:r w:rsidRPr="00AA2347">
              <w:rPr>
                <w:sz w:val="20"/>
                <w:szCs w:val="20"/>
              </w:rPr>
              <w:t>Recidivism Rates</w:t>
            </w:r>
          </w:p>
        </w:tc>
      </w:tr>
      <w:tr w:rsidR="000C53C2" w:rsidRPr="00AA2347" w:rsidTr="009B5ED1">
        <w:trPr>
          <w:trHeight w:val="195"/>
        </w:trPr>
        <w:tc>
          <w:tcPr>
            <w:tcW w:w="0" w:type="auto"/>
            <w:vMerge/>
            <w:vAlign w:val="center"/>
          </w:tcPr>
          <w:p w:rsidR="000C53C2" w:rsidRPr="00AA2347" w:rsidRDefault="000C53C2" w:rsidP="009B5ED1">
            <w:pPr>
              <w:jc w:val="center"/>
              <w:rPr>
                <w:sz w:val="20"/>
                <w:szCs w:val="20"/>
              </w:rPr>
            </w:pPr>
          </w:p>
        </w:tc>
        <w:tc>
          <w:tcPr>
            <w:tcW w:w="0" w:type="auto"/>
            <w:vMerge/>
            <w:vAlign w:val="center"/>
          </w:tcPr>
          <w:p w:rsidR="000C53C2" w:rsidRPr="00AA2347" w:rsidRDefault="000C53C2" w:rsidP="009B5ED1">
            <w:pPr>
              <w:jc w:val="center"/>
              <w:rPr>
                <w:sz w:val="20"/>
                <w:szCs w:val="20"/>
              </w:rPr>
            </w:pPr>
          </w:p>
        </w:tc>
        <w:tc>
          <w:tcPr>
            <w:tcW w:w="0" w:type="auto"/>
            <w:vMerge/>
            <w:vAlign w:val="center"/>
          </w:tcPr>
          <w:p w:rsidR="000C53C2" w:rsidRPr="00AA2347" w:rsidRDefault="000C53C2" w:rsidP="009B5ED1">
            <w:pPr>
              <w:jc w:val="center"/>
              <w:rPr>
                <w:sz w:val="20"/>
                <w:szCs w:val="20"/>
              </w:rPr>
            </w:pPr>
          </w:p>
        </w:tc>
        <w:tc>
          <w:tcPr>
            <w:tcW w:w="0" w:type="auto"/>
            <w:gridSpan w:val="2"/>
            <w:tcBorders>
              <w:top w:val="single" w:sz="12" w:space="0" w:color="auto"/>
            </w:tcBorders>
            <w:vAlign w:val="center"/>
          </w:tcPr>
          <w:p w:rsidR="000C53C2" w:rsidRPr="00AA2347" w:rsidRDefault="000C53C2" w:rsidP="009B5ED1">
            <w:pPr>
              <w:jc w:val="center"/>
              <w:rPr>
                <w:sz w:val="20"/>
                <w:szCs w:val="20"/>
              </w:rPr>
            </w:pPr>
            <w:r w:rsidRPr="00AA2347">
              <w:rPr>
                <w:sz w:val="20"/>
                <w:szCs w:val="20"/>
              </w:rPr>
              <w:t>Sexual</w:t>
            </w:r>
          </w:p>
        </w:tc>
        <w:tc>
          <w:tcPr>
            <w:tcW w:w="0" w:type="auto"/>
            <w:gridSpan w:val="2"/>
            <w:tcBorders>
              <w:top w:val="single" w:sz="12" w:space="0" w:color="auto"/>
            </w:tcBorders>
            <w:vAlign w:val="center"/>
          </w:tcPr>
          <w:p w:rsidR="000C53C2" w:rsidRPr="00AA2347" w:rsidRDefault="000C53C2" w:rsidP="009B5ED1">
            <w:pPr>
              <w:jc w:val="center"/>
              <w:rPr>
                <w:sz w:val="20"/>
                <w:szCs w:val="20"/>
              </w:rPr>
            </w:pPr>
            <w:r w:rsidRPr="00AA2347">
              <w:rPr>
                <w:sz w:val="20"/>
                <w:szCs w:val="20"/>
              </w:rPr>
              <w:t>Nonsexual (prior to sexual)</w:t>
            </w:r>
          </w:p>
        </w:tc>
      </w:tr>
      <w:tr w:rsidR="000C53C2" w:rsidRPr="00AA2347" w:rsidTr="009B5ED1">
        <w:trPr>
          <w:trHeight w:val="309"/>
        </w:trPr>
        <w:tc>
          <w:tcPr>
            <w:tcW w:w="0" w:type="auto"/>
            <w:vMerge/>
            <w:tcBorders>
              <w:bottom w:val="single" w:sz="6" w:space="0" w:color="auto"/>
            </w:tcBorders>
            <w:vAlign w:val="center"/>
          </w:tcPr>
          <w:p w:rsidR="000C53C2" w:rsidRPr="00AA2347" w:rsidRDefault="000C53C2" w:rsidP="009B5ED1">
            <w:pPr>
              <w:jc w:val="center"/>
              <w:rPr>
                <w:sz w:val="20"/>
                <w:szCs w:val="20"/>
              </w:rPr>
            </w:pPr>
          </w:p>
        </w:tc>
        <w:tc>
          <w:tcPr>
            <w:tcW w:w="0" w:type="auto"/>
            <w:vMerge/>
            <w:tcBorders>
              <w:bottom w:val="single" w:sz="6" w:space="0" w:color="auto"/>
            </w:tcBorders>
            <w:vAlign w:val="center"/>
          </w:tcPr>
          <w:p w:rsidR="000C53C2" w:rsidRPr="00AA2347" w:rsidRDefault="000C53C2" w:rsidP="009B5ED1">
            <w:pPr>
              <w:jc w:val="center"/>
              <w:rPr>
                <w:sz w:val="20"/>
                <w:szCs w:val="20"/>
              </w:rPr>
            </w:pPr>
          </w:p>
        </w:tc>
        <w:tc>
          <w:tcPr>
            <w:tcW w:w="0" w:type="auto"/>
            <w:vMerge/>
            <w:tcBorders>
              <w:bottom w:val="single" w:sz="6" w:space="0" w:color="auto"/>
            </w:tcBorders>
            <w:vAlign w:val="center"/>
          </w:tcPr>
          <w:p w:rsidR="000C53C2" w:rsidRPr="00AA2347" w:rsidRDefault="000C53C2" w:rsidP="009B5ED1">
            <w:pPr>
              <w:jc w:val="center"/>
              <w:rPr>
                <w:sz w:val="20"/>
                <w:szCs w:val="20"/>
              </w:rPr>
            </w:pPr>
          </w:p>
        </w:tc>
        <w:tc>
          <w:tcPr>
            <w:tcW w:w="0" w:type="auto"/>
            <w:tcBorders>
              <w:top w:val="single" w:sz="6" w:space="0" w:color="auto"/>
              <w:bottom w:val="single" w:sz="6" w:space="0" w:color="auto"/>
            </w:tcBorders>
            <w:vAlign w:val="center"/>
          </w:tcPr>
          <w:p w:rsidR="000C53C2" w:rsidRPr="00AA2347" w:rsidRDefault="000C53C2" w:rsidP="009B5ED1">
            <w:pPr>
              <w:jc w:val="center"/>
              <w:rPr>
                <w:sz w:val="20"/>
                <w:szCs w:val="20"/>
              </w:rPr>
            </w:pPr>
            <w:r w:rsidRPr="00AA2347">
              <w:rPr>
                <w:i/>
                <w:sz w:val="20"/>
                <w:szCs w:val="20"/>
              </w:rPr>
              <w:t>n</w:t>
            </w:r>
          </w:p>
        </w:tc>
        <w:tc>
          <w:tcPr>
            <w:tcW w:w="0" w:type="auto"/>
            <w:tcBorders>
              <w:top w:val="single" w:sz="6" w:space="0" w:color="auto"/>
              <w:bottom w:val="single" w:sz="6" w:space="0" w:color="auto"/>
            </w:tcBorders>
            <w:vAlign w:val="center"/>
          </w:tcPr>
          <w:p w:rsidR="000C53C2" w:rsidRPr="00AA2347" w:rsidRDefault="000C53C2" w:rsidP="009B5ED1">
            <w:pPr>
              <w:jc w:val="center"/>
              <w:rPr>
                <w:sz w:val="20"/>
                <w:szCs w:val="20"/>
              </w:rPr>
            </w:pPr>
            <w:r w:rsidRPr="00AA2347">
              <w:rPr>
                <w:sz w:val="20"/>
                <w:szCs w:val="20"/>
              </w:rPr>
              <w:t>Recid (%)</w:t>
            </w:r>
          </w:p>
        </w:tc>
        <w:tc>
          <w:tcPr>
            <w:tcW w:w="0" w:type="auto"/>
            <w:tcBorders>
              <w:top w:val="single" w:sz="6" w:space="0" w:color="auto"/>
              <w:bottom w:val="single" w:sz="6" w:space="0" w:color="auto"/>
            </w:tcBorders>
            <w:vAlign w:val="center"/>
          </w:tcPr>
          <w:p w:rsidR="000C53C2" w:rsidRPr="00AA2347" w:rsidRDefault="000C53C2" w:rsidP="009B5ED1">
            <w:pPr>
              <w:jc w:val="center"/>
              <w:rPr>
                <w:sz w:val="20"/>
                <w:szCs w:val="20"/>
              </w:rPr>
            </w:pPr>
            <w:r w:rsidRPr="00AA2347">
              <w:rPr>
                <w:i/>
                <w:sz w:val="20"/>
                <w:szCs w:val="20"/>
              </w:rPr>
              <w:t>n</w:t>
            </w:r>
          </w:p>
        </w:tc>
        <w:tc>
          <w:tcPr>
            <w:tcW w:w="0" w:type="auto"/>
            <w:tcBorders>
              <w:top w:val="single" w:sz="6" w:space="0" w:color="auto"/>
              <w:bottom w:val="single" w:sz="6" w:space="0" w:color="auto"/>
            </w:tcBorders>
            <w:vAlign w:val="center"/>
          </w:tcPr>
          <w:p w:rsidR="000C53C2" w:rsidRPr="00AA2347" w:rsidRDefault="000C53C2" w:rsidP="009B5ED1">
            <w:pPr>
              <w:jc w:val="center"/>
              <w:rPr>
                <w:sz w:val="20"/>
                <w:szCs w:val="20"/>
              </w:rPr>
            </w:pPr>
            <w:r w:rsidRPr="00AA2347">
              <w:rPr>
                <w:sz w:val="20"/>
                <w:szCs w:val="20"/>
              </w:rPr>
              <w:t>Recid (%)</w:t>
            </w:r>
          </w:p>
        </w:tc>
      </w:tr>
      <w:tr w:rsidR="000C53C2" w:rsidRPr="00AA2347" w:rsidTr="009B5ED1">
        <w:trPr>
          <w:trHeight w:val="255"/>
        </w:trPr>
        <w:tc>
          <w:tcPr>
            <w:tcW w:w="0" w:type="auto"/>
            <w:tcBorders>
              <w:top w:val="single" w:sz="6" w:space="0" w:color="auto"/>
            </w:tcBorders>
          </w:tcPr>
          <w:p w:rsidR="000C53C2" w:rsidRPr="00AA2347" w:rsidRDefault="000C53C2" w:rsidP="009B5ED1">
            <w:pPr>
              <w:rPr>
                <w:b/>
                <w:sz w:val="20"/>
                <w:szCs w:val="20"/>
              </w:rPr>
            </w:pPr>
            <w:r w:rsidRPr="00AA2347">
              <w:rPr>
                <w:b/>
                <w:sz w:val="20"/>
                <w:szCs w:val="20"/>
              </w:rPr>
              <w:t>Routine/Complete</w:t>
            </w:r>
          </w:p>
        </w:tc>
        <w:tc>
          <w:tcPr>
            <w:tcW w:w="0" w:type="auto"/>
            <w:tcBorders>
              <w:top w:val="single" w:sz="6" w:space="0" w:color="auto"/>
            </w:tcBorders>
          </w:tcPr>
          <w:p w:rsidR="000C53C2" w:rsidRPr="00AA2347" w:rsidRDefault="000C53C2" w:rsidP="009B5ED1">
            <w:pPr>
              <w:rPr>
                <w:sz w:val="20"/>
                <w:szCs w:val="20"/>
              </w:rPr>
            </w:pPr>
          </w:p>
        </w:tc>
        <w:tc>
          <w:tcPr>
            <w:tcW w:w="0" w:type="auto"/>
            <w:tcBorders>
              <w:top w:val="single" w:sz="6" w:space="0" w:color="auto"/>
            </w:tcBorders>
            <w:vAlign w:val="center"/>
          </w:tcPr>
          <w:p w:rsidR="000C53C2" w:rsidRPr="00AA2347" w:rsidRDefault="000C53C2" w:rsidP="009B5ED1">
            <w:pPr>
              <w:jc w:val="right"/>
              <w:rPr>
                <w:sz w:val="20"/>
                <w:szCs w:val="20"/>
              </w:rPr>
            </w:pPr>
          </w:p>
        </w:tc>
        <w:tc>
          <w:tcPr>
            <w:tcW w:w="0" w:type="auto"/>
            <w:tcBorders>
              <w:top w:val="single" w:sz="6" w:space="0" w:color="auto"/>
            </w:tcBorders>
          </w:tcPr>
          <w:p w:rsidR="000C53C2" w:rsidRPr="00AA2347" w:rsidRDefault="000C53C2" w:rsidP="009B5ED1">
            <w:pPr>
              <w:jc w:val="center"/>
              <w:rPr>
                <w:sz w:val="20"/>
                <w:szCs w:val="20"/>
              </w:rPr>
            </w:pPr>
          </w:p>
        </w:tc>
        <w:tc>
          <w:tcPr>
            <w:tcW w:w="0" w:type="auto"/>
            <w:tcBorders>
              <w:top w:val="single" w:sz="6" w:space="0" w:color="auto"/>
            </w:tcBorders>
          </w:tcPr>
          <w:p w:rsidR="000C53C2" w:rsidRPr="00AA2347" w:rsidRDefault="000C53C2" w:rsidP="009B5ED1">
            <w:pPr>
              <w:jc w:val="center"/>
              <w:rPr>
                <w:sz w:val="20"/>
                <w:szCs w:val="20"/>
              </w:rPr>
            </w:pPr>
            <w:r w:rsidRPr="00AA2347">
              <w:rPr>
                <w:sz w:val="20"/>
                <w:szCs w:val="20"/>
              </w:rPr>
              <w:t xml:space="preserve">  </w:t>
            </w:r>
          </w:p>
        </w:tc>
        <w:tc>
          <w:tcPr>
            <w:tcW w:w="0" w:type="auto"/>
            <w:tcBorders>
              <w:top w:val="single" w:sz="6" w:space="0" w:color="auto"/>
            </w:tcBorders>
          </w:tcPr>
          <w:p w:rsidR="000C53C2" w:rsidRPr="00AA2347" w:rsidRDefault="000C53C2" w:rsidP="009B5ED1">
            <w:pPr>
              <w:rPr>
                <w:sz w:val="20"/>
                <w:szCs w:val="20"/>
              </w:rPr>
            </w:pPr>
          </w:p>
        </w:tc>
        <w:tc>
          <w:tcPr>
            <w:tcW w:w="0" w:type="auto"/>
            <w:tcBorders>
              <w:top w:val="single" w:sz="6" w:space="0" w:color="auto"/>
            </w:tcBorders>
          </w:tcPr>
          <w:p w:rsidR="000C53C2" w:rsidRPr="00AA2347" w:rsidRDefault="000C53C2" w:rsidP="009B5ED1">
            <w:pPr>
              <w:rPr>
                <w:sz w:val="20"/>
                <w:szCs w:val="20"/>
              </w:rPr>
            </w:pPr>
          </w:p>
        </w:tc>
      </w:tr>
      <w:tr w:rsidR="000C53C2" w:rsidRPr="00AA2347" w:rsidTr="009B5ED1">
        <w:tc>
          <w:tcPr>
            <w:tcW w:w="0" w:type="auto"/>
          </w:tcPr>
          <w:p w:rsidR="000C53C2" w:rsidRPr="00AA2347" w:rsidRDefault="000C53C2" w:rsidP="009B5ED1">
            <w:pPr>
              <w:rPr>
                <w:sz w:val="20"/>
                <w:szCs w:val="20"/>
              </w:rPr>
            </w:pPr>
            <w:r w:rsidRPr="00AA2347">
              <w:rPr>
                <w:sz w:val="20"/>
                <w:szCs w:val="20"/>
              </w:rPr>
              <w:t xml:space="preserve">  Bartosh et al. (2003)</w:t>
            </w:r>
          </w:p>
        </w:tc>
        <w:tc>
          <w:tcPr>
            <w:tcW w:w="0" w:type="auto"/>
          </w:tcPr>
          <w:p w:rsidR="000C53C2" w:rsidRPr="00AA2347" w:rsidRDefault="000C53C2" w:rsidP="009B5ED1">
            <w:pPr>
              <w:rPr>
                <w:sz w:val="20"/>
                <w:szCs w:val="20"/>
              </w:rPr>
            </w:pPr>
            <w:r w:rsidRPr="00AA2347">
              <w:rPr>
                <w:sz w:val="20"/>
                <w:szCs w:val="20"/>
              </w:rPr>
              <w:t>Charges</w:t>
            </w:r>
          </w:p>
        </w:tc>
        <w:tc>
          <w:tcPr>
            <w:tcW w:w="0" w:type="auto"/>
            <w:vAlign w:val="center"/>
          </w:tcPr>
          <w:p w:rsidR="000C53C2" w:rsidRPr="00AA2347" w:rsidRDefault="000C53C2" w:rsidP="009B5ED1">
            <w:pPr>
              <w:jc w:val="right"/>
              <w:rPr>
                <w:sz w:val="20"/>
                <w:szCs w:val="20"/>
              </w:rPr>
            </w:pPr>
            <w:r w:rsidRPr="00AA2347">
              <w:rPr>
                <w:sz w:val="20"/>
                <w:szCs w:val="20"/>
              </w:rPr>
              <w:t>5.0 (0.2)</w:t>
            </w:r>
          </w:p>
        </w:tc>
        <w:tc>
          <w:tcPr>
            <w:tcW w:w="0" w:type="auto"/>
          </w:tcPr>
          <w:p w:rsidR="000C53C2" w:rsidRPr="00AA2347" w:rsidRDefault="000C53C2" w:rsidP="009B5ED1">
            <w:pPr>
              <w:jc w:val="right"/>
              <w:rPr>
                <w:sz w:val="20"/>
                <w:szCs w:val="20"/>
              </w:rPr>
            </w:pPr>
            <w:r w:rsidRPr="00AA2347">
              <w:rPr>
                <w:sz w:val="20"/>
                <w:szCs w:val="20"/>
              </w:rPr>
              <w:t>186</w:t>
            </w:r>
          </w:p>
        </w:tc>
        <w:tc>
          <w:tcPr>
            <w:tcW w:w="0" w:type="auto"/>
          </w:tcPr>
          <w:p w:rsidR="000C53C2" w:rsidRPr="00AA2347" w:rsidRDefault="000C53C2" w:rsidP="009B5ED1">
            <w:pPr>
              <w:jc w:val="right"/>
              <w:rPr>
                <w:sz w:val="20"/>
                <w:szCs w:val="20"/>
              </w:rPr>
            </w:pPr>
            <w:r w:rsidRPr="00AA2347">
              <w:rPr>
                <w:sz w:val="20"/>
                <w:szCs w:val="20"/>
              </w:rPr>
              <w:t>11.8</w:t>
            </w:r>
          </w:p>
        </w:tc>
        <w:tc>
          <w:tcPr>
            <w:tcW w:w="0" w:type="auto"/>
          </w:tcPr>
          <w:p w:rsidR="000C53C2" w:rsidRPr="00AA2347" w:rsidRDefault="000C53C2" w:rsidP="009B5ED1">
            <w:pPr>
              <w:jc w:val="center"/>
              <w:rPr>
                <w:sz w:val="20"/>
                <w:szCs w:val="20"/>
              </w:rPr>
            </w:pPr>
            <w:r w:rsidRPr="00AA2347">
              <w:rPr>
                <w:sz w:val="20"/>
                <w:szCs w:val="20"/>
              </w:rPr>
              <w:t>185</w:t>
            </w:r>
          </w:p>
        </w:tc>
        <w:tc>
          <w:tcPr>
            <w:tcW w:w="0" w:type="auto"/>
          </w:tcPr>
          <w:p w:rsidR="000C53C2" w:rsidRPr="00AA2347" w:rsidRDefault="000C53C2" w:rsidP="009B5ED1">
            <w:pPr>
              <w:jc w:val="center"/>
              <w:rPr>
                <w:sz w:val="20"/>
                <w:szCs w:val="20"/>
              </w:rPr>
            </w:pPr>
            <w:r w:rsidRPr="00AA2347">
              <w:rPr>
                <w:sz w:val="20"/>
                <w:szCs w:val="20"/>
              </w:rPr>
              <w:t>44.9</w:t>
            </w:r>
          </w:p>
        </w:tc>
      </w:tr>
      <w:tr w:rsidR="000C53C2" w:rsidRPr="00AA2347" w:rsidTr="009B5ED1">
        <w:tc>
          <w:tcPr>
            <w:tcW w:w="0" w:type="auto"/>
          </w:tcPr>
          <w:p w:rsidR="000C53C2" w:rsidRPr="00AA2347" w:rsidRDefault="000C53C2" w:rsidP="009B5ED1">
            <w:pPr>
              <w:rPr>
                <w:sz w:val="20"/>
                <w:szCs w:val="20"/>
              </w:rPr>
            </w:pPr>
            <w:r w:rsidRPr="00AA2347">
              <w:rPr>
                <w:sz w:val="20"/>
                <w:szCs w:val="20"/>
              </w:rPr>
              <w:t xml:space="preserve">  Bigras (2007)</w:t>
            </w:r>
          </w:p>
        </w:tc>
        <w:tc>
          <w:tcPr>
            <w:tcW w:w="0" w:type="auto"/>
          </w:tcPr>
          <w:p w:rsidR="000C53C2" w:rsidRPr="00AA2347" w:rsidRDefault="000C53C2" w:rsidP="009B5ED1">
            <w:pPr>
              <w:rPr>
                <w:sz w:val="20"/>
                <w:szCs w:val="20"/>
              </w:rPr>
            </w:pPr>
            <w:r w:rsidRPr="00AA2347">
              <w:rPr>
                <w:sz w:val="20"/>
                <w:szCs w:val="20"/>
              </w:rPr>
              <w:t>Charges</w:t>
            </w:r>
          </w:p>
        </w:tc>
        <w:tc>
          <w:tcPr>
            <w:tcW w:w="0" w:type="auto"/>
            <w:vAlign w:val="center"/>
          </w:tcPr>
          <w:p w:rsidR="000C53C2" w:rsidRPr="00AA2347" w:rsidRDefault="000C53C2" w:rsidP="009B5ED1">
            <w:pPr>
              <w:jc w:val="right"/>
              <w:rPr>
                <w:sz w:val="20"/>
                <w:szCs w:val="20"/>
              </w:rPr>
            </w:pPr>
            <w:r w:rsidRPr="00AA2347">
              <w:rPr>
                <w:sz w:val="20"/>
                <w:szCs w:val="20"/>
              </w:rPr>
              <w:t>4.7 (1.8)</w:t>
            </w:r>
          </w:p>
        </w:tc>
        <w:tc>
          <w:tcPr>
            <w:tcW w:w="0" w:type="auto"/>
          </w:tcPr>
          <w:p w:rsidR="000C53C2" w:rsidRPr="00AA2347" w:rsidRDefault="000C53C2" w:rsidP="009B5ED1">
            <w:pPr>
              <w:jc w:val="right"/>
              <w:rPr>
                <w:sz w:val="20"/>
                <w:szCs w:val="20"/>
              </w:rPr>
            </w:pPr>
            <w:r w:rsidRPr="00AA2347">
              <w:rPr>
                <w:sz w:val="20"/>
                <w:szCs w:val="20"/>
              </w:rPr>
              <w:t>473</w:t>
            </w:r>
          </w:p>
        </w:tc>
        <w:tc>
          <w:tcPr>
            <w:tcW w:w="0" w:type="auto"/>
          </w:tcPr>
          <w:p w:rsidR="000C53C2" w:rsidRPr="00AA2347" w:rsidRDefault="000C53C2" w:rsidP="009B5ED1">
            <w:pPr>
              <w:jc w:val="right"/>
              <w:rPr>
                <w:sz w:val="20"/>
                <w:szCs w:val="20"/>
              </w:rPr>
            </w:pPr>
            <w:r w:rsidRPr="00AA2347">
              <w:rPr>
                <w:sz w:val="20"/>
                <w:szCs w:val="20"/>
              </w:rPr>
              <w:t xml:space="preserve">  6.3</w:t>
            </w:r>
          </w:p>
        </w:tc>
        <w:tc>
          <w:tcPr>
            <w:tcW w:w="0" w:type="auto"/>
          </w:tcPr>
          <w:p w:rsidR="000C53C2" w:rsidRPr="00AA2347" w:rsidRDefault="000C53C2" w:rsidP="009B5ED1">
            <w:pPr>
              <w:jc w:val="center"/>
              <w:rPr>
                <w:sz w:val="20"/>
                <w:szCs w:val="20"/>
              </w:rPr>
            </w:pPr>
            <w:r w:rsidRPr="00AA2347">
              <w:rPr>
                <w:sz w:val="20"/>
                <w:szCs w:val="20"/>
              </w:rPr>
              <w:t>454</w:t>
            </w:r>
          </w:p>
        </w:tc>
        <w:tc>
          <w:tcPr>
            <w:tcW w:w="0" w:type="auto"/>
          </w:tcPr>
          <w:p w:rsidR="000C53C2" w:rsidRPr="00AA2347" w:rsidRDefault="000C53C2" w:rsidP="009B5ED1">
            <w:pPr>
              <w:jc w:val="center"/>
              <w:rPr>
                <w:sz w:val="20"/>
                <w:szCs w:val="20"/>
              </w:rPr>
            </w:pPr>
            <w:r w:rsidRPr="00AA2347">
              <w:rPr>
                <w:sz w:val="20"/>
                <w:szCs w:val="20"/>
              </w:rPr>
              <w:t>17.0</w:t>
            </w:r>
          </w:p>
        </w:tc>
      </w:tr>
      <w:tr w:rsidR="000C53C2" w:rsidRPr="00AA2347" w:rsidTr="009B5ED1">
        <w:tc>
          <w:tcPr>
            <w:tcW w:w="0" w:type="auto"/>
          </w:tcPr>
          <w:p w:rsidR="000C53C2" w:rsidRPr="00AA2347" w:rsidRDefault="000C53C2" w:rsidP="009B5ED1">
            <w:pPr>
              <w:rPr>
                <w:sz w:val="20"/>
                <w:szCs w:val="20"/>
              </w:rPr>
            </w:pPr>
            <w:r w:rsidRPr="00AA2347">
              <w:rPr>
                <w:sz w:val="20"/>
                <w:szCs w:val="20"/>
              </w:rPr>
              <w:t xml:space="preserve">  Boer (2003)</w:t>
            </w:r>
          </w:p>
        </w:tc>
        <w:tc>
          <w:tcPr>
            <w:tcW w:w="0" w:type="auto"/>
          </w:tcPr>
          <w:p w:rsidR="000C53C2" w:rsidRPr="00AA2347" w:rsidRDefault="000C53C2" w:rsidP="009B5ED1">
            <w:pPr>
              <w:rPr>
                <w:sz w:val="20"/>
                <w:szCs w:val="20"/>
              </w:rPr>
            </w:pPr>
            <w:r w:rsidRPr="00AA2347">
              <w:rPr>
                <w:sz w:val="20"/>
                <w:szCs w:val="20"/>
              </w:rPr>
              <w:t>Conviction</w:t>
            </w:r>
          </w:p>
        </w:tc>
        <w:tc>
          <w:tcPr>
            <w:tcW w:w="0" w:type="auto"/>
            <w:vAlign w:val="center"/>
          </w:tcPr>
          <w:p w:rsidR="000C53C2" w:rsidRPr="00AA2347" w:rsidRDefault="000C53C2" w:rsidP="009B5ED1">
            <w:pPr>
              <w:jc w:val="right"/>
              <w:rPr>
                <w:sz w:val="20"/>
                <w:szCs w:val="20"/>
              </w:rPr>
            </w:pPr>
            <w:r w:rsidRPr="00AA2347">
              <w:rPr>
                <w:sz w:val="20"/>
                <w:szCs w:val="20"/>
              </w:rPr>
              <w:t>13.3 (2.1)</w:t>
            </w:r>
          </w:p>
        </w:tc>
        <w:tc>
          <w:tcPr>
            <w:tcW w:w="0" w:type="auto"/>
          </w:tcPr>
          <w:p w:rsidR="000C53C2" w:rsidRPr="00AA2347" w:rsidRDefault="000C53C2" w:rsidP="009B5ED1">
            <w:pPr>
              <w:jc w:val="right"/>
              <w:rPr>
                <w:sz w:val="20"/>
                <w:szCs w:val="20"/>
              </w:rPr>
            </w:pPr>
            <w:r w:rsidRPr="00AA2347">
              <w:rPr>
                <w:sz w:val="20"/>
                <w:szCs w:val="20"/>
              </w:rPr>
              <w:t>299</w:t>
            </w:r>
          </w:p>
        </w:tc>
        <w:tc>
          <w:tcPr>
            <w:tcW w:w="0" w:type="auto"/>
          </w:tcPr>
          <w:p w:rsidR="000C53C2" w:rsidRPr="00AA2347" w:rsidRDefault="000C53C2" w:rsidP="009B5ED1">
            <w:pPr>
              <w:jc w:val="right"/>
              <w:rPr>
                <w:sz w:val="20"/>
                <w:szCs w:val="20"/>
              </w:rPr>
            </w:pPr>
            <w:r w:rsidRPr="00AA2347">
              <w:rPr>
                <w:sz w:val="20"/>
                <w:szCs w:val="20"/>
              </w:rPr>
              <w:t xml:space="preserve">  8.7</w:t>
            </w:r>
          </w:p>
        </w:tc>
        <w:tc>
          <w:tcPr>
            <w:tcW w:w="0" w:type="auto"/>
          </w:tcPr>
          <w:p w:rsidR="000C53C2" w:rsidRPr="00AA2347" w:rsidRDefault="000C53C2" w:rsidP="009B5ED1">
            <w:pPr>
              <w:jc w:val="center"/>
              <w:rPr>
                <w:sz w:val="20"/>
                <w:szCs w:val="20"/>
              </w:rPr>
            </w:pPr>
            <w:r w:rsidRPr="00AA2347">
              <w:rPr>
                <w:sz w:val="20"/>
                <w:szCs w:val="20"/>
              </w:rPr>
              <w:t>282</w:t>
            </w:r>
          </w:p>
        </w:tc>
        <w:tc>
          <w:tcPr>
            <w:tcW w:w="0" w:type="auto"/>
          </w:tcPr>
          <w:p w:rsidR="000C53C2" w:rsidRPr="00AA2347" w:rsidRDefault="000C53C2" w:rsidP="009B5ED1">
            <w:pPr>
              <w:jc w:val="center"/>
              <w:rPr>
                <w:sz w:val="20"/>
                <w:szCs w:val="20"/>
              </w:rPr>
            </w:pPr>
            <w:r w:rsidRPr="00AA2347">
              <w:rPr>
                <w:sz w:val="20"/>
                <w:szCs w:val="20"/>
              </w:rPr>
              <w:t>41.8</w:t>
            </w:r>
          </w:p>
        </w:tc>
      </w:tr>
      <w:tr w:rsidR="000C53C2" w:rsidRPr="00AA2347" w:rsidTr="009B5ED1">
        <w:tc>
          <w:tcPr>
            <w:tcW w:w="0" w:type="auto"/>
          </w:tcPr>
          <w:p w:rsidR="000C53C2" w:rsidRPr="00AA2347" w:rsidRDefault="000C53C2" w:rsidP="009B5ED1">
            <w:pPr>
              <w:rPr>
                <w:sz w:val="20"/>
                <w:szCs w:val="20"/>
              </w:rPr>
            </w:pPr>
            <w:r w:rsidRPr="00AA2347">
              <w:rPr>
                <w:sz w:val="20"/>
                <w:szCs w:val="20"/>
              </w:rPr>
              <w:t xml:space="preserve">  Craissati et al. (2011)</w:t>
            </w:r>
          </w:p>
        </w:tc>
        <w:tc>
          <w:tcPr>
            <w:tcW w:w="0" w:type="auto"/>
          </w:tcPr>
          <w:p w:rsidR="000C53C2" w:rsidRPr="00AA2347" w:rsidRDefault="000C53C2" w:rsidP="009B5ED1">
            <w:pPr>
              <w:rPr>
                <w:sz w:val="20"/>
                <w:szCs w:val="20"/>
              </w:rPr>
            </w:pPr>
            <w:r w:rsidRPr="00AA2347">
              <w:rPr>
                <w:sz w:val="20"/>
                <w:szCs w:val="20"/>
              </w:rPr>
              <w:t>Conviction</w:t>
            </w:r>
          </w:p>
        </w:tc>
        <w:tc>
          <w:tcPr>
            <w:tcW w:w="0" w:type="auto"/>
            <w:vAlign w:val="center"/>
          </w:tcPr>
          <w:p w:rsidR="000C53C2" w:rsidRPr="00AA2347" w:rsidRDefault="000C53C2" w:rsidP="009B5ED1">
            <w:pPr>
              <w:jc w:val="right"/>
              <w:rPr>
                <w:sz w:val="20"/>
                <w:szCs w:val="20"/>
              </w:rPr>
            </w:pPr>
            <w:r w:rsidRPr="00AA2347">
              <w:rPr>
                <w:sz w:val="20"/>
                <w:szCs w:val="20"/>
              </w:rPr>
              <w:t>9.1 (2.7)</w:t>
            </w:r>
          </w:p>
        </w:tc>
        <w:tc>
          <w:tcPr>
            <w:tcW w:w="0" w:type="auto"/>
          </w:tcPr>
          <w:p w:rsidR="000C53C2" w:rsidRPr="00AA2347" w:rsidRDefault="000C53C2" w:rsidP="009B5ED1">
            <w:pPr>
              <w:jc w:val="right"/>
              <w:rPr>
                <w:sz w:val="20"/>
                <w:szCs w:val="20"/>
              </w:rPr>
            </w:pPr>
            <w:r w:rsidRPr="00AA2347">
              <w:rPr>
                <w:sz w:val="20"/>
                <w:szCs w:val="20"/>
              </w:rPr>
              <w:t>209</w:t>
            </w:r>
          </w:p>
        </w:tc>
        <w:tc>
          <w:tcPr>
            <w:tcW w:w="0" w:type="auto"/>
          </w:tcPr>
          <w:p w:rsidR="000C53C2" w:rsidRPr="00AA2347" w:rsidRDefault="000C53C2" w:rsidP="009B5ED1">
            <w:pPr>
              <w:jc w:val="right"/>
              <w:rPr>
                <w:sz w:val="20"/>
                <w:szCs w:val="20"/>
              </w:rPr>
            </w:pPr>
            <w:r w:rsidRPr="00AA2347">
              <w:rPr>
                <w:sz w:val="20"/>
                <w:szCs w:val="20"/>
              </w:rPr>
              <w:t>11.5</w:t>
            </w:r>
          </w:p>
        </w:tc>
        <w:tc>
          <w:tcPr>
            <w:tcW w:w="0" w:type="auto"/>
          </w:tcPr>
          <w:p w:rsidR="000C53C2" w:rsidRPr="00AA2347" w:rsidRDefault="000C53C2" w:rsidP="009B5ED1">
            <w:pPr>
              <w:jc w:val="center"/>
              <w:rPr>
                <w:sz w:val="20"/>
                <w:szCs w:val="20"/>
              </w:rPr>
            </w:pPr>
            <w:r w:rsidRPr="00AA2347">
              <w:rPr>
                <w:sz w:val="20"/>
                <w:szCs w:val="20"/>
              </w:rPr>
              <w:t>201</w:t>
            </w:r>
          </w:p>
        </w:tc>
        <w:tc>
          <w:tcPr>
            <w:tcW w:w="0" w:type="auto"/>
          </w:tcPr>
          <w:p w:rsidR="000C53C2" w:rsidRPr="00AA2347" w:rsidRDefault="000C53C2" w:rsidP="009B5ED1">
            <w:pPr>
              <w:jc w:val="center"/>
              <w:rPr>
                <w:sz w:val="20"/>
                <w:szCs w:val="20"/>
              </w:rPr>
            </w:pPr>
            <w:r w:rsidRPr="00AA2347">
              <w:rPr>
                <w:sz w:val="20"/>
                <w:szCs w:val="20"/>
              </w:rPr>
              <w:t>25.4</w:t>
            </w:r>
          </w:p>
        </w:tc>
      </w:tr>
      <w:tr w:rsidR="000C53C2" w:rsidRPr="00AA2347" w:rsidTr="009B5ED1">
        <w:tc>
          <w:tcPr>
            <w:tcW w:w="0" w:type="auto"/>
          </w:tcPr>
          <w:p w:rsidR="000C53C2" w:rsidRPr="00AA2347" w:rsidRDefault="000C53C2" w:rsidP="009B5ED1">
            <w:pPr>
              <w:rPr>
                <w:sz w:val="20"/>
                <w:szCs w:val="20"/>
              </w:rPr>
            </w:pPr>
            <w:r w:rsidRPr="00AA2347">
              <w:rPr>
                <w:sz w:val="20"/>
                <w:szCs w:val="20"/>
              </w:rPr>
              <w:t xml:space="preserve">  Eher et al. (2008)</w:t>
            </w:r>
          </w:p>
        </w:tc>
        <w:tc>
          <w:tcPr>
            <w:tcW w:w="0" w:type="auto"/>
          </w:tcPr>
          <w:p w:rsidR="000C53C2" w:rsidRPr="00AA2347" w:rsidRDefault="000C53C2" w:rsidP="009B5ED1">
            <w:pPr>
              <w:rPr>
                <w:sz w:val="20"/>
                <w:szCs w:val="20"/>
              </w:rPr>
            </w:pPr>
            <w:r w:rsidRPr="00AA2347">
              <w:rPr>
                <w:sz w:val="20"/>
                <w:szCs w:val="20"/>
              </w:rPr>
              <w:t>Conviction</w:t>
            </w:r>
          </w:p>
        </w:tc>
        <w:tc>
          <w:tcPr>
            <w:tcW w:w="0" w:type="auto"/>
            <w:vAlign w:val="center"/>
          </w:tcPr>
          <w:p w:rsidR="000C53C2" w:rsidRPr="00AA2347" w:rsidRDefault="000C53C2" w:rsidP="009B5ED1">
            <w:pPr>
              <w:jc w:val="right"/>
              <w:rPr>
                <w:sz w:val="20"/>
                <w:szCs w:val="20"/>
              </w:rPr>
            </w:pPr>
            <w:r w:rsidRPr="00AA2347">
              <w:rPr>
                <w:sz w:val="20"/>
                <w:szCs w:val="20"/>
              </w:rPr>
              <w:t>3.9 (1.1)</w:t>
            </w:r>
          </w:p>
        </w:tc>
        <w:tc>
          <w:tcPr>
            <w:tcW w:w="0" w:type="auto"/>
          </w:tcPr>
          <w:p w:rsidR="000C53C2" w:rsidRPr="00AA2347" w:rsidRDefault="000C53C2" w:rsidP="009B5ED1">
            <w:pPr>
              <w:jc w:val="right"/>
              <w:rPr>
                <w:sz w:val="20"/>
                <w:szCs w:val="20"/>
              </w:rPr>
            </w:pPr>
            <w:r w:rsidRPr="00AA2347">
              <w:rPr>
                <w:sz w:val="20"/>
                <w:szCs w:val="20"/>
              </w:rPr>
              <w:t>706</w:t>
            </w:r>
          </w:p>
        </w:tc>
        <w:tc>
          <w:tcPr>
            <w:tcW w:w="0" w:type="auto"/>
          </w:tcPr>
          <w:p w:rsidR="000C53C2" w:rsidRPr="00AA2347" w:rsidRDefault="000C53C2" w:rsidP="009B5ED1">
            <w:pPr>
              <w:jc w:val="right"/>
              <w:rPr>
                <w:sz w:val="20"/>
                <w:szCs w:val="20"/>
              </w:rPr>
            </w:pPr>
            <w:r w:rsidRPr="00AA2347">
              <w:rPr>
                <w:sz w:val="20"/>
                <w:szCs w:val="20"/>
              </w:rPr>
              <w:t xml:space="preserve">  4.0</w:t>
            </w:r>
          </w:p>
        </w:tc>
        <w:tc>
          <w:tcPr>
            <w:tcW w:w="0" w:type="auto"/>
          </w:tcPr>
          <w:p w:rsidR="000C53C2" w:rsidRPr="00AA2347" w:rsidRDefault="000C53C2" w:rsidP="009B5ED1">
            <w:pPr>
              <w:jc w:val="center"/>
              <w:rPr>
                <w:sz w:val="20"/>
                <w:szCs w:val="20"/>
              </w:rPr>
            </w:pPr>
            <w:r w:rsidRPr="00AA2347">
              <w:rPr>
                <w:sz w:val="20"/>
                <w:szCs w:val="20"/>
              </w:rPr>
              <w:t>701</w:t>
            </w:r>
          </w:p>
        </w:tc>
        <w:tc>
          <w:tcPr>
            <w:tcW w:w="0" w:type="auto"/>
          </w:tcPr>
          <w:p w:rsidR="000C53C2" w:rsidRPr="00AA2347" w:rsidRDefault="000C53C2" w:rsidP="009B5ED1">
            <w:pPr>
              <w:jc w:val="center"/>
              <w:rPr>
                <w:sz w:val="20"/>
                <w:szCs w:val="20"/>
              </w:rPr>
            </w:pPr>
            <w:r w:rsidRPr="00AA2347">
              <w:rPr>
                <w:sz w:val="20"/>
                <w:szCs w:val="20"/>
              </w:rPr>
              <w:t>25.7</w:t>
            </w:r>
          </w:p>
        </w:tc>
      </w:tr>
      <w:tr w:rsidR="000C53C2" w:rsidRPr="00AA2347" w:rsidTr="009B5ED1">
        <w:tc>
          <w:tcPr>
            <w:tcW w:w="0" w:type="auto"/>
          </w:tcPr>
          <w:p w:rsidR="000C53C2" w:rsidRPr="00AA2347" w:rsidRDefault="000C53C2" w:rsidP="009B5ED1">
            <w:pPr>
              <w:rPr>
                <w:sz w:val="20"/>
                <w:szCs w:val="20"/>
              </w:rPr>
            </w:pPr>
            <w:r w:rsidRPr="00AA2347">
              <w:rPr>
                <w:sz w:val="20"/>
                <w:szCs w:val="20"/>
              </w:rPr>
              <w:t xml:space="preserve">  Epperson (2003)</w:t>
            </w:r>
          </w:p>
        </w:tc>
        <w:tc>
          <w:tcPr>
            <w:tcW w:w="0" w:type="auto"/>
          </w:tcPr>
          <w:p w:rsidR="000C53C2" w:rsidRPr="00AA2347" w:rsidRDefault="000C53C2" w:rsidP="009B5ED1">
            <w:pPr>
              <w:rPr>
                <w:sz w:val="20"/>
                <w:szCs w:val="20"/>
              </w:rPr>
            </w:pPr>
            <w:r w:rsidRPr="00AA2347">
              <w:rPr>
                <w:sz w:val="20"/>
                <w:szCs w:val="20"/>
              </w:rPr>
              <w:t>Charges</w:t>
            </w:r>
          </w:p>
        </w:tc>
        <w:tc>
          <w:tcPr>
            <w:tcW w:w="0" w:type="auto"/>
            <w:vAlign w:val="center"/>
          </w:tcPr>
          <w:p w:rsidR="000C53C2" w:rsidRPr="00AA2347" w:rsidRDefault="000C53C2" w:rsidP="009B5ED1">
            <w:pPr>
              <w:jc w:val="right"/>
              <w:rPr>
                <w:sz w:val="20"/>
                <w:szCs w:val="20"/>
              </w:rPr>
            </w:pPr>
            <w:r w:rsidRPr="00AA2347">
              <w:rPr>
                <w:sz w:val="20"/>
                <w:szCs w:val="20"/>
              </w:rPr>
              <w:t>7.9 (2.5)</w:t>
            </w:r>
          </w:p>
        </w:tc>
        <w:tc>
          <w:tcPr>
            <w:tcW w:w="0" w:type="auto"/>
          </w:tcPr>
          <w:p w:rsidR="000C53C2" w:rsidRPr="00AA2347" w:rsidRDefault="000C53C2" w:rsidP="009B5ED1">
            <w:pPr>
              <w:jc w:val="right"/>
              <w:rPr>
                <w:sz w:val="20"/>
                <w:szCs w:val="20"/>
              </w:rPr>
            </w:pPr>
            <w:r w:rsidRPr="00AA2347">
              <w:rPr>
                <w:sz w:val="20"/>
                <w:szCs w:val="20"/>
              </w:rPr>
              <w:t>177</w:t>
            </w:r>
          </w:p>
        </w:tc>
        <w:tc>
          <w:tcPr>
            <w:tcW w:w="0" w:type="auto"/>
          </w:tcPr>
          <w:p w:rsidR="000C53C2" w:rsidRPr="00AA2347" w:rsidRDefault="000C53C2" w:rsidP="009B5ED1">
            <w:pPr>
              <w:jc w:val="right"/>
              <w:rPr>
                <w:sz w:val="20"/>
                <w:szCs w:val="20"/>
              </w:rPr>
            </w:pPr>
            <w:r w:rsidRPr="00AA2347">
              <w:rPr>
                <w:sz w:val="20"/>
                <w:szCs w:val="20"/>
              </w:rPr>
              <w:t>14.1</w:t>
            </w:r>
          </w:p>
        </w:tc>
        <w:tc>
          <w:tcPr>
            <w:tcW w:w="0" w:type="auto"/>
          </w:tcPr>
          <w:p w:rsidR="000C53C2" w:rsidRPr="00AA2347" w:rsidRDefault="000C53C2" w:rsidP="009B5ED1">
            <w:pPr>
              <w:jc w:val="center"/>
              <w:rPr>
                <w:sz w:val="20"/>
                <w:szCs w:val="20"/>
              </w:rPr>
            </w:pPr>
          </w:p>
        </w:tc>
        <w:tc>
          <w:tcPr>
            <w:tcW w:w="0" w:type="auto"/>
          </w:tcPr>
          <w:p w:rsidR="000C53C2" w:rsidRPr="00AA2347" w:rsidRDefault="000C53C2" w:rsidP="009B5ED1">
            <w:pPr>
              <w:jc w:val="center"/>
              <w:rPr>
                <w:sz w:val="20"/>
                <w:szCs w:val="20"/>
              </w:rPr>
            </w:pPr>
          </w:p>
        </w:tc>
      </w:tr>
      <w:tr w:rsidR="000C53C2" w:rsidRPr="00AA2347" w:rsidTr="009B5ED1">
        <w:tc>
          <w:tcPr>
            <w:tcW w:w="0" w:type="auto"/>
          </w:tcPr>
          <w:p w:rsidR="000C53C2" w:rsidRPr="00AA2347" w:rsidRDefault="000C53C2" w:rsidP="009B5ED1">
            <w:pPr>
              <w:rPr>
                <w:sz w:val="20"/>
                <w:szCs w:val="20"/>
              </w:rPr>
            </w:pPr>
            <w:r w:rsidRPr="00AA2347">
              <w:rPr>
                <w:sz w:val="20"/>
                <w:szCs w:val="20"/>
              </w:rPr>
              <w:t xml:space="preserve">  Hanson et al. (2007)</w:t>
            </w:r>
          </w:p>
        </w:tc>
        <w:tc>
          <w:tcPr>
            <w:tcW w:w="0" w:type="auto"/>
          </w:tcPr>
          <w:p w:rsidR="000C53C2" w:rsidRPr="00AA2347" w:rsidRDefault="000C53C2" w:rsidP="009B5ED1">
            <w:pPr>
              <w:rPr>
                <w:sz w:val="20"/>
                <w:szCs w:val="20"/>
              </w:rPr>
            </w:pPr>
            <w:r w:rsidRPr="00AA2347">
              <w:rPr>
                <w:sz w:val="20"/>
                <w:szCs w:val="20"/>
              </w:rPr>
              <w:t>Charges</w:t>
            </w:r>
          </w:p>
        </w:tc>
        <w:tc>
          <w:tcPr>
            <w:tcW w:w="0" w:type="auto"/>
            <w:vAlign w:val="center"/>
          </w:tcPr>
          <w:p w:rsidR="000C53C2" w:rsidRPr="00AA2347" w:rsidRDefault="000C53C2" w:rsidP="009B5ED1">
            <w:pPr>
              <w:jc w:val="right"/>
              <w:rPr>
                <w:sz w:val="20"/>
                <w:szCs w:val="20"/>
              </w:rPr>
            </w:pPr>
            <w:r w:rsidRPr="00AA2347">
              <w:rPr>
                <w:sz w:val="20"/>
                <w:szCs w:val="20"/>
              </w:rPr>
              <w:t>3.5 (1.0)</w:t>
            </w:r>
          </w:p>
        </w:tc>
        <w:tc>
          <w:tcPr>
            <w:tcW w:w="0" w:type="auto"/>
          </w:tcPr>
          <w:p w:rsidR="000C53C2" w:rsidRPr="00AA2347" w:rsidRDefault="000C53C2" w:rsidP="009B5ED1">
            <w:pPr>
              <w:jc w:val="right"/>
              <w:rPr>
                <w:sz w:val="20"/>
                <w:szCs w:val="20"/>
              </w:rPr>
            </w:pPr>
            <w:r w:rsidRPr="00AA2347">
              <w:rPr>
                <w:sz w:val="20"/>
                <w:szCs w:val="20"/>
              </w:rPr>
              <w:t>698</w:t>
            </w:r>
          </w:p>
        </w:tc>
        <w:tc>
          <w:tcPr>
            <w:tcW w:w="0" w:type="auto"/>
          </w:tcPr>
          <w:p w:rsidR="000C53C2" w:rsidRPr="00AA2347" w:rsidRDefault="000C53C2" w:rsidP="009B5ED1">
            <w:pPr>
              <w:jc w:val="right"/>
              <w:rPr>
                <w:sz w:val="20"/>
                <w:szCs w:val="20"/>
              </w:rPr>
            </w:pPr>
            <w:r w:rsidRPr="00AA2347">
              <w:rPr>
                <w:sz w:val="20"/>
                <w:szCs w:val="20"/>
              </w:rPr>
              <w:t>8.2</w:t>
            </w:r>
          </w:p>
        </w:tc>
        <w:tc>
          <w:tcPr>
            <w:tcW w:w="0" w:type="auto"/>
          </w:tcPr>
          <w:p w:rsidR="000C53C2" w:rsidRPr="00AA2347" w:rsidRDefault="000C53C2" w:rsidP="009B5ED1">
            <w:pPr>
              <w:jc w:val="center"/>
              <w:rPr>
                <w:sz w:val="20"/>
                <w:szCs w:val="20"/>
              </w:rPr>
            </w:pPr>
            <w:r w:rsidRPr="00AA2347">
              <w:rPr>
                <w:sz w:val="20"/>
                <w:szCs w:val="20"/>
              </w:rPr>
              <w:t>694</w:t>
            </w:r>
          </w:p>
        </w:tc>
        <w:tc>
          <w:tcPr>
            <w:tcW w:w="0" w:type="auto"/>
          </w:tcPr>
          <w:p w:rsidR="000C53C2" w:rsidRPr="00AA2347" w:rsidRDefault="000C53C2" w:rsidP="009B5ED1">
            <w:pPr>
              <w:jc w:val="center"/>
              <w:rPr>
                <w:sz w:val="20"/>
                <w:szCs w:val="20"/>
              </w:rPr>
            </w:pPr>
            <w:r w:rsidRPr="00AA2347">
              <w:rPr>
                <w:sz w:val="20"/>
                <w:szCs w:val="20"/>
              </w:rPr>
              <w:t>18.7</w:t>
            </w:r>
          </w:p>
        </w:tc>
      </w:tr>
      <w:tr w:rsidR="000C53C2" w:rsidRPr="00AA2347" w:rsidTr="009B5ED1">
        <w:tc>
          <w:tcPr>
            <w:tcW w:w="0" w:type="auto"/>
          </w:tcPr>
          <w:p w:rsidR="000C53C2" w:rsidRPr="00AA2347" w:rsidRDefault="000C53C2" w:rsidP="009B5ED1">
            <w:pPr>
              <w:rPr>
                <w:sz w:val="20"/>
                <w:szCs w:val="20"/>
              </w:rPr>
            </w:pPr>
            <w:r w:rsidRPr="00AA2347">
              <w:rPr>
                <w:sz w:val="20"/>
                <w:szCs w:val="20"/>
              </w:rPr>
              <w:t xml:space="preserve">  Långström (2004)</w:t>
            </w:r>
          </w:p>
        </w:tc>
        <w:tc>
          <w:tcPr>
            <w:tcW w:w="0" w:type="auto"/>
          </w:tcPr>
          <w:p w:rsidR="000C53C2" w:rsidRPr="00AA2347" w:rsidRDefault="000C53C2" w:rsidP="009B5ED1">
            <w:pPr>
              <w:rPr>
                <w:sz w:val="20"/>
                <w:szCs w:val="20"/>
              </w:rPr>
            </w:pPr>
            <w:r w:rsidRPr="00AA2347">
              <w:rPr>
                <w:sz w:val="20"/>
                <w:szCs w:val="20"/>
              </w:rPr>
              <w:t>Conviction</w:t>
            </w:r>
          </w:p>
        </w:tc>
        <w:tc>
          <w:tcPr>
            <w:tcW w:w="0" w:type="auto"/>
            <w:vAlign w:val="center"/>
          </w:tcPr>
          <w:p w:rsidR="000C53C2" w:rsidRPr="00AA2347" w:rsidRDefault="000C53C2" w:rsidP="009B5ED1">
            <w:pPr>
              <w:jc w:val="right"/>
              <w:rPr>
                <w:sz w:val="20"/>
                <w:szCs w:val="20"/>
              </w:rPr>
            </w:pPr>
            <w:r w:rsidRPr="00AA2347">
              <w:rPr>
                <w:sz w:val="20"/>
                <w:szCs w:val="20"/>
              </w:rPr>
              <w:t>8.9 (1.4)</w:t>
            </w:r>
          </w:p>
        </w:tc>
        <w:tc>
          <w:tcPr>
            <w:tcW w:w="0" w:type="auto"/>
          </w:tcPr>
          <w:p w:rsidR="000C53C2" w:rsidRPr="00AA2347" w:rsidRDefault="000C53C2" w:rsidP="009B5ED1">
            <w:pPr>
              <w:jc w:val="right"/>
              <w:rPr>
                <w:sz w:val="20"/>
                <w:szCs w:val="20"/>
              </w:rPr>
            </w:pPr>
            <w:r w:rsidRPr="00AA2347">
              <w:rPr>
                <w:sz w:val="20"/>
                <w:szCs w:val="20"/>
              </w:rPr>
              <w:t xml:space="preserve">1,278 </w:t>
            </w:r>
          </w:p>
        </w:tc>
        <w:tc>
          <w:tcPr>
            <w:tcW w:w="0" w:type="auto"/>
          </w:tcPr>
          <w:p w:rsidR="000C53C2" w:rsidRPr="00AA2347" w:rsidRDefault="000C53C2" w:rsidP="009B5ED1">
            <w:pPr>
              <w:jc w:val="right"/>
              <w:rPr>
                <w:sz w:val="20"/>
                <w:szCs w:val="20"/>
              </w:rPr>
            </w:pPr>
            <w:r w:rsidRPr="00AA2347">
              <w:rPr>
                <w:sz w:val="20"/>
                <w:szCs w:val="20"/>
              </w:rPr>
              <w:t xml:space="preserve">  7.5</w:t>
            </w:r>
          </w:p>
        </w:tc>
        <w:tc>
          <w:tcPr>
            <w:tcW w:w="0" w:type="auto"/>
          </w:tcPr>
          <w:p w:rsidR="000C53C2" w:rsidRPr="00AA2347" w:rsidRDefault="000C53C2" w:rsidP="009B5ED1">
            <w:pPr>
              <w:jc w:val="center"/>
              <w:rPr>
                <w:sz w:val="20"/>
                <w:szCs w:val="20"/>
              </w:rPr>
            </w:pPr>
          </w:p>
        </w:tc>
        <w:tc>
          <w:tcPr>
            <w:tcW w:w="0" w:type="auto"/>
          </w:tcPr>
          <w:p w:rsidR="000C53C2" w:rsidRPr="00AA2347" w:rsidRDefault="000C53C2" w:rsidP="009B5ED1">
            <w:pPr>
              <w:jc w:val="center"/>
              <w:rPr>
                <w:sz w:val="20"/>
                <w:szCs w:val="20"/>
              </w:rPr>
            </w:pPr>
          </w:p>
        </w:tc>
      </w:tr>
      <w:tr w:rsidR="000C53C2" w:rsidRPr="00AA2347" w:rsidTr="009B5ED1">
        <w:tc>
          <w:tcPr>
            <w:tcW w:w="0" w:type="auto"/>
          </w:tcPr>
          <w:p w:rsidR="000C53C2" w:rsidRPr="00AA2347" w:rsidRDefault="000C53C2" w:rsidP="009B5ED1">
            <w:pPr>
              <w:rPr>
                <w:b/>
                <w:sz w:val="20"/>
                <w:szCs w:val="20"/>
              </w:rPr>
            </w:pPr>
            <w:r w:rsidRPr="00AA2347">
              <w:rPr>
                <w:b/>
                <w:sz w:val="20"/>
                <w:szCs w:val="20"/>
              </w:rPr>
              <w:t>Preselected Treatment</w:t>
            </w:r>
          </w:p>
        </w:tc>
        <w:tc>
          <w:tcPr>
            <w:tcW w:w="0" w:type="auto"/>
          </w:tcPr>
          <w:p w:rsidR="000C53C2" w:rsidRPr="00AA2347" w:rsidRDefault="000C53C2" w:rsidP="009B5ED1">
            <w:pPr>
              <w:rPr>
                <w:sz w:val="20"/>
                <w:szCs w:val="20"/>
              </w:rPr>
            </w:pPr>
          </w:p>
        </w:tc>
        <w:tc>
          <w:tcPr>
            <w:tcW w:w="0" w:type="auto"/>
            <w:vAlign w:val="center"/>
          </w:tcPr>
          <w:p w:rsidR="000C53C2" w:rsidRPr="00AA2347" w:rsidRDefault="000C53C2" w:rsidP="009B5ED1">
            <w:pPr>
              <w:jc w:val="right"/>
              <w:rPr>
                <w:sz w:val="20"/>
                <w:szCs w:val="20"/>
              </w:rPr>
            </w:pPr>
          </w:p>
        </w:tc>
        <w:tc>
          <w:tcPr>
            <w:tcW w:w="0" w:type="auto"/>
          </w:tcPr>
          <w:p w:rsidR="000C53C2" w:rsidRPr="00AA2347" w:rsidRDefault="000C53C2" w:rsidP="009B5ED1">
            <w:pPr>
              <w:jc w:val="right"/>
              <w:rPr>
                <w:sz w:val="20"/>
                <w:szCs w:val="20"/>
              </w:rPr>
            </w:pPr>
          </w:p>
        </w:tc>
        <w:tc>
          <w:tcPr>
            <w:tcW w:w="0" w:type="auto"/>
          </w:tcPr>
          <w:p w:rsidR="000C53C2" w:rsidRPr="00AA2347" w:rsidRDefault="000C53C2" w:rsidP="009B5ED1">
            <w:pPr>
              <w:jc w:val="right"/>
              <w:rPr>
                <w:sz w:val="20"/>
                <w:szCs w:val="20"/>
              </w:rPr>
            </w:pPr>
          </w:p>
        </w:tc>
        <w:tc>
          <w:tcPr>
            <w:tcW w:w="0" w:type="auto"/>
          </w:tcPr>
          <w:p w:rsidR="000C53C2" w:rsidRPr="00AA2347" w:rsidRDefault="000C53C2" w:rsidP="009B5ED1">
            <w:pPr>
              <w:jc w:val="center"/>
              <w:rPr>
                <w:sz w:val="20"/>
                <w:szCs w:val="20"/>
              </w:rPr>
            </w:pPr>
          </w:p>
        </w:tc>
        <w:tc>
          <w:tcPr>
            <w:tcW w:w="0" w:type="auto"/>
          </w:tcPr>
          <w:p w:rsidR="000C53C2" w:rsidRPr="00AA2347" w:rsidRDefault="000C53C2" w:rsidP="009B5ED1">
            <w:pPr>
              <w:jc w:val="center"/>
              <w:rPr>
                <w:sz w:val="20"/>
                <w:szCs w:val="20"/>
              </w:rPr>
            </w:pPr>
          </w:p>
        </w:tc>
      </w:tr>
      <w:tr w:rsidR="000C53C2" w:rsidRPr="00AA2347" w:rsidTr="009B5ED1">
        <w:tc>
          <w:tcPr>
            <w:tcW w:w="0" w:type="auto"/>
          </w:tcPr>
          <w:p w:rsidR="000C53C2" w:rsidRPr="00AA2347" w:rsidRDefault="000C53C2" w:rsidP="009B5ED1">
            <w:pPr>
              <w:rPr>
                <w:sz w:val="20"/>
                <w:szCs w:val="20"/>
              </w:rPr>
            </w:pPr>
            <w:r w:rsidRPr="00AA2347">
              <w:rPr>
                <w:sz w:val="20"/>
                <w:szCs w:val="20"/>
              </w:rPr>
              <w:t xml:space="preserve">  Allan et al. (2007)</w:t>
            </w:r>
          </w:p>
        </w:tc>
        <w:tc>
          <w:tcPr>
            <w:tcW w:w="0" w:type="auto"/>
          </w:tcPr>
          <w:p w:rsidR="000C53C2" w:rsidRPr="00AA2347" w:rsidRDefault="000C53C2" w:rsidP="009B5ED1">
            <w:pPr>
              <w:rPr>
                <w:sz w:val="20"/>
                <w:szCs w:val="20"/>
              </w:rPr>
            </w:pPr>
            <w:r w:rsidRPr="00AA2347">
              <w:rPr>
                <w:sz w:val="20"/>
                <w:szCs w:val="20"/>
              </w:rPr>
              <w:t>Charges</w:t>
            </w:r>
          </w:p>
        </w:tc>
        <w:tc>
          <w:tcPr>
            <w:tcW w:w="0" w:type="auto"/>
            <w:vAlign w:val="center"/>
          </w:tcPr>
          <w:p w:rsidR="000C53C2" w:rsidRPr="00AA2347" w:rsidRDefault="000C53C2" w:rsidP="009B5ED1">
            <w:pPr>
              <w:jc w:val="right"/>
              <w:rPr>
                <w:sz w:val="20"/>
                <w:szCs w:val="20"/>
              </w:rPr>
            </w:pPr>
            <w:r w:rsidRPr="00AA2347">
              <w:rPr>
                <w:sz w:val="20"/>
                <w:szCs w:val="20"/>
              </w:rPr>
              <w:t>5.9 (2.8)</w:t>
            </w:r>
          </w:p>
        </w:tc>
        <w:tc>
          <w:tcPr>
            <w:tcW w:w="0" w:type="auto"/>
          </w:tcPr>
          <w:p w:rsidR="000C53C2" w:rsidRPr="00AA2347" w:rsidRDefault="000C53C2" w:rsidP="009B5ED1">
            <w:pPr>
              <w:jc w:val="right"/>
              <w:rPr>
                <w:sz w:val="20"/>
                <w:szCs w:val="20"/>
              </w:rPr>
            </w:pPr>
            <w:r w:rsidRPr="00AA2347">
              <w:rPr>
                <w:sz w:val="20"/>
                <w:szCs w:val="20"/>
              </w:rPr>
              <w:t>476</w:t>
            </w:r>
          </w:p>
        </w:tc>
        <w:tc>
          <w:tcPr>
            <w:tcW w:w="0" w:type="auto"/>
          </w:tcPr>
          <w:p w:rsidR="000C53C2" w:rsidRPr="00AA2347" w:rsidRDefault="000C53C2" w:rsidP="009B5ED1">
            <w:pPr>
              <w:jc w:val="right"/>
              <w:rPr>
                <w:sz w:val="20"/>
                <w:szCs w:val="20"/>
              </w:rPr>
            </w:pPr>
            <w:r w:rsidRPr="00AA2347">
              <w:rPr>
                <w:sz w:val="20"/>
                <w:szCs w:val="20"/>
              </w:rPr>
              <w:t xml:space="preserve">  9.7</w:t>
            </w:r>
          </w:p>
        </w:tc>
        <w:tc>
          <w:tcPr>
            <w:tcW w:w="0" w:type="auto"/>
          </w:tcPr>
          <w:p w:rsidR="000C53C2" w:rsidRPr="00AA2347" w:rsidRDefault="000C53C2" w:rsidP="009B5ED1">
            <w:pPr>
              <w:jc w:val="center"/>
              <w:rPr>
                <w:sz w:val="20"/>
                <w:szCs w:val="20"/>
              </w:rPr>
            </w:pPr>
            <w:r w:rsidRPr="00AA2347">
              <w:rPr>
                <w:sz w:val="20"/>
                <w:szCs w:val="20"/>
              </w:rPr>
              <w:t>465</w:t>
            </w:r>
          </w:p>
        </w:tc>
        <w:tc>
          <w:tcPr>
            <w:tcW w:w="0" w:type="auto"/>
          </w:tcPr>
          <w:p w:rsidR="000C53C2" w:rsidRPr="00AA2347" w:rsidRDefault="000C53C2" w:rsidP="009B5ED1">
            <w:pPr>
              <w:jc w:val="center"/>
              <w:rPr>
                <w:sz w:val="20"/>
                <w:szCs w:val="20"/>
              </w:rPr>
            </w:pPr>
            <w:r w:rsidRPr="00AA2347">
              <w:rPr>
                <w:sz w:val="20"/>
                <w:szCs w:val="20"/>
              </w:rPr>
              <w:t>18.5</w:t>
            </w:r>
          </w:p>
        </w:tc>
      </w:tr>
      <w:tr w:rsidR="000C53C2" w:rsidRPr="00AA2347" w:rsidTr="009B5ED1">
        <w:tc>
          <w:tcPr>
            <w:tcW w:w="0" w:type="auto"/>
          </w:tcPr>
          <w:p w:rsidR="000C53C2" w:rsidRPr="00AA2347" w:rsidRDefault="000C53C2" w:rsidP="009B5ED1">
            <w:pPr>
              <w:rPr>
                <w:sz w:val="20"/>
                <w:szCs w:val="20"/>
              </w:rPr>
            </w:pPr>
            <w:r w:rsidRPr="00AA2347">
              <w:rPr>
                <w:sz w:val="20"/>
                <w:szCs w:val="20"/>
              </w:rPr>
              <w:t xml:space="preserve">  Brouillette-Alarie &amp; Proulx (2008)</w:t>
            </w:r>
          </w:p>
        </w:tc>
        <w:tc>
          <w:tcPr>
            <w:tcW w:w="0" w:type="auto"/>
          </w:tcPr>
          <w:p w:rsidR="000C53C2" w:rsidRPr="00AA2347" w:rsidRDefault="000C53C2" w:rsidP="009B5ED1">
            <w:pPr>
              <w:rPr>
                <w:sz w:val="20"/>
                <w:szCs w:val="20"/>
              </w:rPr>
            </w:pPr>
            <w:r w:rsidRPr="00AA2347">
              <w:rPr>
                <w:sz w:val="20"/>
                <w:szCs w:val="20"/>
              </w:rPr>
              <w:t>Conviction</w:t>
            </w:r>
          </w:p>
        </w:tc>
        <w:tc>
          <w:tcPr>
            <w:tcW w:w="0" w:type="auto"/>
            <w:vAlign w:val="center"/>
          </w:tcPr>
          <w:p w:rsidR="000C53C2" w:rsidRPr="00AA2347" w:rsidRDefault="000C53C2" w:rsidP="009B5ED1">
            <w:pPr>
              <w:jc w:val="right"/>
              <w:rPr>
                <w:sz w:val="20"/>
                <w:szCs w:val="20"/>
              </w:rPr>
            </w:pPr>
            <w:r w:rsidRPr="00AA2347">
              <w:rPr>
                <w:sz w:val="20"/>
                <w:szCs w:val="20"/>
              </w:rPr>
              <w:t>10.1 (4.3)</w:t>
            </w:r>
          </w:p>
        </w:tc>
        <w:tc>
          <w:tcPr>
            <w:tcW w:w="0" w:type="auto"/>
          </w:tcPr>
          <w:p w:rsidR="000C53C2" w:rsidRPr="00AA2347" w:rsidRDefault="000C53C2" w:rsidP="009B5ED1">
            <w:pPr>
              <w:jc w:val="right"/>
              <w:rPr>
                <w:sz w:val="20"/>
                <w:szCs w:val="20"/>
              </w:rPr>
            </w:pPr>
            <w:r w:rsidRPr="00AA2347">
              <w:rPr>
                <w:sz w:val="20"/>
                <w:szCs w:val="20"/>
              </w:rPr>
              <w:t>223</w:t>
            </w:r>
          </w:p>
        </w:tc>
        <w:tc>
          <w:tcPr>
            <w:tcW w:w="0" w:type="auto"/>
          </w:tcPr>
          <w:p w:rsidR="000C53C2" w:rsidRPr="00AA2347" w:rsidRDefault="000C53C2" w:rsidP="009B5ED1">
            <w:pPr>
              <w:jc w:val="right"/>
              <w:rPr>
                <w:sz w:val="20"/>
                <w:szCs w:val="20"/>
              </w:rPr>
            </w:pPr>
            <w:r w:rsidRPr="00AA2347">
              <w:rPr>
                <w:sz w:val="20"/>
                <w:szCs w:val="20"/>
              </w:rPr>
              <w:t>20.6</w:t>
            </w:r>
          </w:p>
        </w:tc>
        <w:tc>
          <w:tcPr>
            <w:tcW w:w="0" w:type="auto"/>
          </w:tcPr>
          <w:p w:rsidR="000C53C2" w:rsidRPr="00AA2347" w:rsidRDefault="000C53C2" w:rsidP="009B5ED1">
            <w:pPr>
              <w:jc w:val="center"/>
              <w:rPr>
                <w:sz w:val="20"/>
                <w:szCs w:val="20"/>
              </w:rPr>
            </w:pPr>
          </w:p>
        </w:tc>
        <w:tc>
          <w:tcPr>
            <w:tcW w:w="0" w:type="auto"/>
          </w:tcPr>
          <w:p w:rsidR="000C53C2" w:rsidRPr="00AA2347" w:rsidRDefault="000C53C2" w:rsidP="009B5ED1">
            <w:pPr>
              <w:jc w:val="center"/>
              <w:rPr>
                <w:sz w:val="20"/>
                <w:szCs w:val="20"/>
              </w:rPr>
            </w:pPr>
          </w:p>
        </w:tc>
      </w:tr>
      <w:tr w:rsidR="000C53C2" w:rsidRPr="00AA2347" w:rsidTr="009B5ED1">
        <w:tc>
          <w:tcPr>
            <w:tcW w:w="0" w:type="auto"/>
          </w:tcPr>
          <w:p w:rsidR="000C53C2" w:rsidRPr="00AA2347" w:rsidRDefault="000C53C2" w:rsidP="009B5ED1">
            <w:pPr>
              <w:rPr>
                <w:sz w:val="20"/>
                <w:szCs w:val="20"/>
              </w:rPr>
            </w:pPr>
            <w:r w:rsidRPr="00AA2347">
              <w:rPr>
                <w:sz w:val="20"/>
                <w:szCs w:val="20"/>
              </w:rPr>
              <w:t xml:space="preserve">  Johansen (2007)</w:t>
            </w:r>
          </w:p>
        </w:tc>
        <w:tc>
          <w:tcPr>
            <w:tcW w:w="0" w:type="auto"/>
          </w:tcPr>
          <w:p w:rsidR="000C53C2" w:rsidRPr="00AA2347" w:rsidRDefault="000C53C2" w:rsidP="009B5ED1">
            <w:pPr>
              <w:rPr>
                <w:sz w:val="20"/>
                <w:szCs w:val="20"/>
              </w:rPr>
            </w:pPr>
            <w:r w:rsidRPr="00AA2347">
              <w:rPr>
                <w:sz w:val="20"/>
                <w:szCs w:val="20"/>
              </w:rPr>
              <w:t>Charges</w:t>
            </w:r>
          </w:p>
        </w:tc>
        <w:tc>
          <w:tcPr>
            <w:tcW w:w="0" w:type="auto"/>
            <w:vAlign w:val="center"/>
          </w:tcPr>
          <w:p w:rsidR="000C53C2" w:rsidRPr="00AA2347" w:rsidRDefault="000C53C2" w:rsidP="009B5ED1">
            <w:pPr>
              <w:jc w:val="right"/>
              <w:rPr>
                <w:sz w:val="20"/>
                <w:szCs w:val="20"/>
              </w:rPr>
            </w:pPr>
            <w:r w:rsidRPr="00AA2347">
              <w:rPr>
                <w:sz w:val="20"/>
                <w:szCs w:val="20"/>
              </w:rPr>
              <w:t>9.1 (1.1)</w:t>
            </w:r>
          </w:p>
        </w:tc>
        <w:tc>
          <w:tcPr>
            <w:tcW w:w="0" w:type="auto"/>
          </w:tcPr>
          <w:p w:rsidR="000C53C2" w:rsidRPr="00AA2347" w:rsidRDefault="000C53C2" w:rsidP="009B5ED1">
            <w:pPr>
              <w:jc w:val="right"/>
              <w:rPr>
                <w:sz w:val="20"/>
                <w:szCs w:val="20"/>
              </w:rPr>
            </w:pPr>
            <w:r w:rsidRPr="00AA2347">
              <w:rPr>
                <w:sz w:val="20"/>
                <w:szCs w:val="20"/>
              </w:rPr>
              <w:t>273</w:t>
            </w:r>
          </w:p>
        </w:tc>
        <w:tc>
          <w:tcPr>
            <w:tcW w:w="0" w:type="auto"/>
          </w:tcPr>
          <w:p w:rsidR="000C53C2" w:rsidRPr="00AA2347" w:rsidRDefault="000C53C2" w:rsidP="009B5ED1">
            <w:pPr>
              <w:jc w:val="right"/>
              <w:rPr>
                <w:sz w:val="20"/>
                <w:szCs w:val="20"/>
              </w:rPr>
            </w:pPr>
            <w:r w:rsidRPr="00AA2347">
              <w:rPr>
                <w:sz w:val="20"/>
                <w:szCs w:val="20"/>
              </w:rPr>
              <w:t xml:space="preserve">  7.7</w:t>
            </w:r>
          </w:p>
        </w:tc>
        <w:tc>
          <w:tcPr>
            <w:tcW w:w="0" w:type="auto"/>
          </w:tcPr>
          <w:p w:rsidR="000C53C2" w:rsidRPr="00AA2347" w:rsidRDefault="000C53C2" w:rsidP="009B5ED1">
            <w:pPr>
              <w:jc w:val="center"/>
              <w:rPr>
                <w:sz w:val="20"/>
                <w:szCs w:val="20"/>
              </w:rPr>
            </w:pPr>
            <w:r w:rsidRPr="00AA2347">
              <w:rPr>
                <w:sz w:val="20"/>
                <w:szCs w:val="20"/>
              </w:rPr>
              <w:t>263</w:t>
            </w:r>
          </w:p>
        </w:tc>
        <w:tc>
          <w:tcPr>
            <w:tcW w:w="0" w:type="auto"/>
          </w:tcPr>
          <w:p w:rsidR="000C53C2" w:rsidRPr="00AA2347" w:rsidRDefault="000C53C2" w:rsidP="009B5ED1">
            <w:pPr>
              <w:jc w:val="center"/>
              <w:rPr>
                <w:sz w:val="20"/>
                <w:szCs w:val="20"/>
              </w:rPr>
            </w:pPr>
            <w:r w:rsidRPr="00AA2347">
              <w:rPr>
                <w:sz w:val="20"/>
                <w:szCs w:val="20"/>
              </w:rPr>
              <w:t>49.8</w:t>
            </w:r>
          </w:p>
        </w:tc>
      </w:tr>
      <w:tr w:rsidR="000C53C2" w:rsidRPr="00AA2347" w:rsidTr="009B5ED1">
        <w:tc>
          <w:tcPr>
            <w:tcW w:w="0" w:type="auto"/>
          </w:tcPr>
          <w:p w:rsidR="000C53C2" w:rsidRPr="00AA2347" w:rsidRDefault="000C53C2" w:rsidP="005D34C8">
            <w:pPr>
              <w:rPr>
                <w:sz w:val="20"/>
                <w:szCs w:val="20"/>
              </w:rPr>
            </w:pPr>
            <w:r w:rsidRPr="00AA2347">
              <w:rPr>
                <w:sz w:val="20"/>
                <w:szCs w:val="20"/>
              </w:rPr>
              <w:t xml:space="preserve">  Romine et al. (2008)</w:t>
            </w:r>
          </w:p>
        </w:tc>
        <w:tc>
          <w:tcPr>
            <w:tcW w:w="0" w:type="auto"/>
          </w:tcPr>
          <w:p w:rsidR="000C53C2" w:rsidRPr="00AA2347" w:rsidRDefault="000C53C2" w:rsidP="009B5ED1">
            <w:pPr>
              <w:rPr>
                <w:sz w:val="20"/>
                <w:szCs w:val="20"/>
              </w:rPr>
            </w:pPr>
            <w:r w:rsidRPr="00AA2347">
              <w:rPr>
                <w:sz w:val="20"/>
                <w:szCs w:val="20"/>
              </w:rPr>
              <w:t>Conviction</w:t>
            </w:r>
          </w:p>
        </w:tc>
        <w:tc>
          <w:tcPr>
            <w:tcW w:w="0" w:type="auto"/>
            <w:vAlign w:val="center"/>
          </w:tcPr>
          <w:p w:rsidR="000C53C2" w:rsidRPr="00AA2347" w:rsidRDefault="000C53C2" w:rsidP="009B5ED1">
            <w:pPr>
              <w:jc w:val="right"/>
              <w:rPr>
                <w:sz w:val="20"/>
                <w:szCs w:val="20"/>
              </w:rPr>
            </w:pPr>
            <w:r w:rsidRPr="00AA2347">
              <w:rPr>
                <w:sz w:val="20"/>
                <w:szCs w:val="20"/>
              </w:rPr>
              <w:t>16.8 (7.8)</w:t>
            </w:r>
          </w:p>
        </w:tc>
        <w:tc>
          <w:tcPr>
            <w:tcW w:w="0" w:type="auto"/>
          </w:tcPr>
          <w:p w:rsidR="000C53C2" w:rsidRPr="00AA2347" w:rsidRDefault="000C53C2" w:rsidP="009B5ED1">
            <w:pPr>
              <w:jc w:val="right"/>
              <w:rPr>
                <w:sz w:val="20"/>
                <w:szCs w:val="20"/>
              </w:rPr>
            </w:pPr>
            <w:r w:rsidRPr="00AA2347">
              <w:rPr>
                <w:sz w:val="20"/>
                <w:szCs w:val="20"/>
              </w:rPr>
              <w:t>680</w:t>
            </w:r>
          </w:p>
        </w:tc>
        <w:tc>
          <w:tcPr>
            <w:tcW w:w="0" w:type="auto"/>
          </w:tcPr>
          <w:p w:rsidR="000C53C2" w:rsidRPr="00AA2347" w:rsidRDefault="000C53C2" w:rsidP="009B5ED1">
            <w:pPr>
              <w:jc w:val="right"/>
              <w:rPr>
                <w:sz w:val="20"/>
                <w:szCs w:val="20"/>
              </w:rPr>
            </w:pPr>
            <w:r w:rsidRPr="00AA2347">
              <w:rPr>
                <w:sz w:val="20"/>
                <w:szCs w:val="20"/>
              </w:rPr>
              <w:t>13.8</w:t>
            </w:r>
          </w:p>
        </w:tc>
        <w:tc>
          <w:tcPr>
            <w:tcW w:w="0" w:type="auto"/>
          </w:tcPr>
          <w:p w:rsidR="000C53C2" w:rsidRPr="00AA2347" w:rsidRDefault="000C53C2" w:rsidP="009B5ED1">
            <w:pPr>
              <w:jc w:val="center"/>
              <w:rPr>
                <w:sz w:val="20"/>
                <w:szCs w:val="20"/>
              </w:rPr>
            </w:pPr>
          </w:p>
        </w:tc>
        <w:tc>
          <w:tcPr>
            <w:tcW w:w="0" w:type="auto"/>
          </w:tcPr>
          <w:p w:rsidR="000C53C2" w:rsidRPr="00AA2347" w:rsidRDefault="000C53C2" w:rsidP="009B5ED1">
            <w:pPr>
              <w:jc w:val="center"/>
              <w:rPr>
                <w:sz w:val="20"/>
                <w:szCs w:val="20"/>
              </w:rPr>
            </w:pPr>
          </w:p>
        </w:tc>
      </w:tr>
      <w:tr w:rsidR="000C53C2" w:rsidRPr="00AA2347" w:rsidTr="009B5ED1">
        <w:tc>
          <w:tcPr>
            <w:tcW w:w="0" w:type="auto"/>
          </w:tcPr>
          <w:p w:rsidR="000C53C2" w:rsidRPr="00AA2347" w:rsidRDefault="000C53C2" w:rsidP="009B5ED1">
            <w:pPr>
              <w:rPr>
                <w:sz w:val="20"/>
                <w:szCs w:val="20"/>
              </w:rPr>
            </w:pPr>
            <w:r w:rsidRPr="00AA2347">
              <w:rPr>
                <w:sz w:val="20"/>
                <w:szCs w:val="20"/>
              </w:rPr>
              <w:t xml:space="preserve">  Ternowski (2004)</w:t>
            </w:r>
          </w:p>
        </w:tc>
        <w:tc>
          <w:tcPr>
            <w:tcW w:w="0" w:type="auto"/>
          </w:tcPr>
          <w:p w:rsidR="000C53C2" w:rsidRPr="00AA2347" w:rsidRDefault="000C53C2" w:rsidP="009B5ED1">
            <w:pPr>
              <w:rPr>
                <w:sz w:val="20"/>
                <w:szCs w:val="20"/>
              </w:rPr>
            </w:pPr>
            <w:r w:rsidRPr="00AA2347">
              <w:rPr>
                <w:sz w:val="20"/>
                <w:szCs w:val="20"/>
              </w:rPr>
              <w:t>Charges</w:t>
            </w:r>
          </w:p>
        </w:tc>
        <w:tc>
          <w:tcPr>
            <w:tcW w:w="0" w:type="auto"/>
            <w:vAlign w:val="center"/>
          </w:tcPr>
          <w:p w:rsidR="000C53C2" w:rsidRPr="00AA2347" w:rsidRDefault="000C53C2" w:rsidP="009B5ED1">
            <w:pPr>
              <w:jc w:val="right"/>
              <w:rPr>
                <w:sz w:val="20"/>
                <w:szCs w:val="20"/>
              </w:rPr>
            </w:pPr>
            <w:r w:rsidRPr="00AA2347">
              <w:rPr>
                <w:sz w:val="20"/>
                <w:szCs w:val="20"/>
              </w:rPr>
              <w:t>7.5 (1.0)</w:t>
            </w:r>
          </w:p>
        </w:tc>
        <w:tc>
          <w:tcPr>
            <w:tcW w:w="0" w:type="auto"/>
          </w:tcPr>
          <w:p w:rsidR="000C53C2" w:rsidRPr="00AA2347" w:rsidRDefault="000C53C2" w:rsidP="009B5ED1">
            <w:pPr>
              <w:jc w:val="right"/>
              <w:rPr>
                <w:sz w:val="20"/>
                <w:szCs w:val="20"/>
              </w:rPr>
            </w:pPr>
            <w:r w:rsidRPr="00AA2347">
              <w:rPr>
                <w:sz w:val="20"/>
                <w:szCs w:val="20"/>
              </w:rPr>
              <w:t>247</w:t>
            </w:r>
          </w:p>
        </w:tc>
        <w:tc>
          <w:tcPr>
            <w:tcW w:w="0" w:type="auto"/>
          </w:tcPr>
          <w:p w:rsidR="000C53C2" w:rsidRPr="00AA2347" w:rsidRDefault="000C53C2" w:rsidP="009B5ED1">
            <w:pPr>
              <w:jc w:val="right"/>
              <w:rPr>
                <w:sz w:val="20"/>
                <w:szCs w:val="20"/>
              </w:rPr>
            </w:pPr>
            <w:r w:rsidRPr="00AA2347">
              <w:rPr>
                <w:sz w:val="20"/>
                <w:szCs w:val="20"/>
              </w:rPr>
              <w:t xml:space="preserve">  8.1</w:t>
            </w:r>
          </w:p>
        </w:tc>
        <w:tc>
          <w:tcPr>
            <w:tcW w:w="0" w:type="auto"/>
          </w:tcPr>
          <w:p w:rsidR="000C53C2" w:rsidRPr="00AA2347" w:rsidRDefault="000C53C2" w:rsidP="009B5ED1">
            <w:pPr>
              <w:jc w:val="center"/>
              <w:rPr>
                <w:sz w:val="20"/>
                <w:szCs w:val="20"/>
              </w:rPr>
            </w:pPr>
            <w:r w:rsidRPr="00AA2347">
              <w:rPr>
                <w:sz w:val="20"/>
                <w:szCs w:val="20"/>
              </w:rPr>
              <w:t>240</w:t>
            </w:r>
          </w:p>
        </w:tc>
        <w:tc>
          <w:tcPr>
            <w:tcW w:w="0" w:type="auto"/>
          </w:tcPr>
          <w:p w:rsidR="000C53C2" w:rsidRPr="00AA2347" w:rsidRDefault="000C53C2" w:rsidP="009B5ED1">
            <w:pPr>
              <w:jc w:val="center"/>
              <w:rPr>
                <w:sz w:val="20"/>
                <w:szCs w:val="20"/>
              </w:rPr>
            </w:pPr>
            <w:r w:rsidRPr="00AA2347">
              <w:rPr>
                <w:sz w:val="20"/>
                <w:szCs w:val="20"/>
              </w:rPr>
              <w:t>14.2</w:t>
            </w:r>
          </w:p>
        </w:tc>
      </w:tr>
      <w:tr w:rsidR="000C53C2" w:rsidRPr="00AA2347" w:rsidTr="009B5ED1">
        <w:tc>
          <w:tcPr>
            <w:tcW w:w="0" w:type="auto"/>
          </w:tcPr>
          <w:p w:rsidR="000C53C2" w:rsidRPr="00AA2347" w:rsidRDefault="000C53C2" w:rsidP="009B5ED1">
            <w:pPr>
              <w:rPr>
                <w:b/>
                <w:sz w:val="20"/>
                <w:szCs w:val="20"/>
              </w:rPr>
            </w:pPr>
            <w:r w:rsidRPr="00AA2347">
              <w:rPr>
                <w:b/>
                <w:sz w:val="20"/>
                <w:szCs w:val="20"/>
              </w:rPr>
              <w:t>High Risk/High Need</w:t>
            </w:r>
          </w:p>
        </w:tc>
        <w:tc>
          <w:tcPr>
            <w:tcW w:w="0" w:type="auto"/>
          </w:tcPr>
          <w:p w:rsidR="000C53C2" w:rsidRPr="00AA2347" w:rsidRDefault="000C53C2" w:rsidP="009B5ED1">
            <w:pPr>
              <w:rPr>
                <w:sz w:val="20"/>
                <w:szCs w:val="20"/>
              </w:rPr>
            </w:pPr>
          </w:p>
        </w:tc>
        <w:tc>
          <w:tcPr>
            <w:tcW w:w="0" w:type="auto"/>
            <w:vAlign w:val="center"/>
          </w:tcPr>
          <w:p w:rsidR="000C53C2" w:rsidRPr="00AA2347" w:rsidRDefault="000C53C2" w:rsidP="009B5ED1">
            <w:pPr>
              <w:jc w:val="right"/>
              <w:rPr>
                <w:sz w:val="20"/>
                <w:szCs w:val="20"/>
              </w:rPr>
            </w:pPr>
          </w:p>
        </w:tc>
        <w:tc>
          <w:tcPr>
            <w:tcW w:w="0" w:type="auto"/>
          </w:tcPr>
          <w:p w:rsidR="000C53C2" w:rsidRPr="00AA2347" w:rsidRDefault="000C53C2" w:rsidP="009B5ED1">
            <w:pPr>
              <w:jc w:val="right"/>
              <w:rPr>
                <w:sz w:val="20"/>
                <w:szCs w:val="20"/>
              </w:rPr>
            </w:pPr>
          </w:p>
        </w:tc>
        <w:tc>
          <w:tcPr>
            <w:tcW w:w="0" w:type="auto"/>
          </w:tcPr>
          <w:p w:rsidR="000C53C2" w:rsidRPr="00AA2347" w:rsidRDefault="000C53C2" w:rsidP="009B5ED1">
            <w:pPr>
              <w:jc w:val="right"/>
              <w:rPr>
                <w:sz w:val="20"/>
                <w:szCs w:val="20"/>
              </w:rPr>
            </w:pPr>
          </w:p>
        </w:tc>
        <w:tc>
          <w:tcPr>
            <w:tcW w:w="0" w:type="auto"/>
          </w:tcPr>
          <w:p w:rsidR="000C53C2" w:rsidRPr="00AA2347" w:rsidRDefault="000C53C2" w:rsidP="009B5ED1">
            <w:pPr>
              <w:jc w:val="center"/>
              <w:rPr>
                <w:sz w:val="20"/>
                <w:szCs w:val="20"/>
              </w:rPr>
            </w:pPr>
          </w:p>
        </w:tc>
        <w:tc>
          <w:tcPr>
            <w:tcW w:w="0" w:type="auto"/>
          </w:tcPr>
          <w:p w:rsidR="000C53C2" w:rsidRPr="00AA2347" w:rsidRDefault="000C53C2" w:rsidP="009B5ED1">
            <w:pPr>
              <w:jc w:val="center"/>
              <w:rPr>
                <w:sz w:val="20"/>
                <w:szCs w:val="20"/>
              </w:rPr>
            </w:pPr>
          </w:p>
        </w:tc>
      </w:tr>
      <w:tr w:rsidR="000C53C2" w:rsidRPr="00AA2347" w:rsidTr="009B5ED1">
        <w:tc>
          <w:tcPr>
            <w:tcW w:w="0" w:type="auto"/>
          </w:tcPr>
          <w:p w:rsidR="000C53C2" w:rsidRPr="00AA2347" w:rsidRDefault="000C53C2" w:rsidP="009B5ED1">
            <w:pPr>
              <w:rPr>
                <w:sz w:val="20"/>
                <w:szCs w:val="20"/>
              </w:rPr>
            </w:pPr>
            <w:r w:rsidRPr="00AA2347">
              <w:rPr>
                <w:sz w:val="20"/>
                <w:szCs w:val="20"/>
              </w:rPr>
              <w:t xml:space="preserve">  Bengtson (2008)</w:t>
            </w:r>
          </w:p>
        </w:tc>
        <w:tc>
          <w:tcPr>
            <w:tcW w:w="0" w:type="auto"/>
          </w:tcPr>
          <w:p w:rsidR="000C53C2" w:rsidRPr="00AA2347" w:rsidRDefault="000C53C2" w:rsidP="009B5ED1">
            <w:pPr>
              <w:rPr>
                <w:sz w:val="20"/>
                <w:szCs w:val="20"/>
              </w:rPr>
            </w:pPr>
            <w:r w:rsidRPr="00AA2347">
              <w:rPr>
                <w:sz w:val="20"/>
                <w:szCs w:val="20"/>
              </w:rPr>
              <w:t>Charges</w:t>
            </w:r>
          </w:p>
        </w:tc>
        <w:tc>
          <w:tcPr>
            <w:tcW w:w="0" w:type="auto"/>
            <w:vAlign w:val="center"/>
          </w:tcPr>
          <w:p w:rsidR="000C53C2" w:rsidRPr="00AA2347" w:rsidRDefault="000C53C2" w:rsidP="009B5ED1">
            <w:pPr>
              <w:jc w:val="right"/>
              <w:rPr>
                <w:sz w:val="20"/>
                <w:szCs w:val="20"/>
              </w:rPr>
            </w:pPr>
            <w:r w:rsidRPr="00AA2347">
              <w:rPr>
                <w:sz w:val="20"/>
                <w:szCs w:val="20"/>
              </w:rPr>
              <w:t>16.2 (4.2)</w:t>
            </w:r>
          </w:p>
        </w:tc>
        <w:tc>
          <w:tcPr>
            <w:tcW w:w="0" w:type="auto"/>
          </w:tcPr>
          <w:p w:rsidR="000C53C2" w:rsidRPr="00AA2347" w:rsidRDefault="000C53C2" w:rsidP="009B5ED1">
            <w:pPr>
              <w:jc w:val="right"/>
              <w:rPr>
                <w:sz w:val="20"/>
                <w:szCs w:val="20"/>
              </w:rPr>
            </w:pPr>
            <w:r w:rsidRPr="00AA2347">
              <w:rPr>
                <w:sz w:val="20"/>
                <w:szCs w:val="20"/>
              </w:rPr>
              <w:t>311</w:t>
            </w:r>
          </w:p>
        </w:tc>
        <w:tc>
          <w:tcPr>
            <w:tcW w:w="0" w:type="auto"/>
          </w:tcPr>
          <w:p w:rsidR="000C53C2" w:rsidRPr="00AA2347" w:rsidRDefault="000C53C2" w:rsidP="009B5ED1">
            <w:pPr>
              <w:jc w:val="right"/>
              <w:rPr>
                <w:sz w:val="20"/>
                <w:szCs w:val="20"/>
              </w:rPr>
            </w:pPr>
            <w:r w:rsidRPr="00AA2347">
              <w:rPr>
                <w:sz w:val="20"/>
                <w:szCs w:val="20"/>
              </w:rPr>
              <w:t>33.8</w:t>
            </w:r>
          </w:p>
        </w:tc>
        <w:tc>
          <w:tcPr>
            <w:tcW w:w="0" w:type="auto"/>
          </w:tcPr>
          <w:p w:rsidR="000C53C2" w:rsidRPr="00AA2347" w:rsidRDefault="000C53C2" w:rsidP="009B5ED1">
            <w:pPr>
              <w:jc w:val="center"/>
              <w:rPr>
                <w:sz w:val="20"/>
                <w:szCs w:val="20"/>
              </w:rPr>
            </w:pPr>
            <w:r w:rsidRPr="00AA2347">
              <w:rPr>
                <w:sz w:val="20"/>
                <w:szCs w:val="20"/>
              </w:rPr>
              <w:t>310</w:t>
            </w:r>
          </w:p>
        </w:tc>
        <w:tc>
          <w:tcPr>
            <w:tcW w:w="0" w:type="auto"/>
          </w:tcPr>
          <w:p w:rsidR="000C53C2" w:rsidRPr="00AA2347" w:rsidRDefault="000C53C2" w:rsidP="009B5ED1">
            <w:pPr>
              <w:jc w:val="center"/>
              <w:rPr>
                <w:sz w:val="20"/>
                <w:szCs w:val="20"/>
              </w:rPr>
            </w:pPr>
            <w:r w:rsidRPr="00AA2347">
              <w:rPr>
                <w:sz w:val="20"/>
                <w:szCs w:val="20"/>
              </w:rPr>
              <w:t>41.6</w:t>
            </w:r>
          </w:p>
        </w:tc>
      </w:tr>
      <w:tr w:rsidR="000C53C2" w:rsidRPr="00AA2347" w:rsidTr="009B5ED1">
        <w:tc>
          <w:tcPr>
            <w:tcW w:w="0" w:type="auto"/>
          </w:tcPr>
          <w:p w:rsidR="000C53C2" w:rsidRPr="00AA2347" w:rsidRDefault="000C53C2" w:rsidP="009B5ED1">
            <w:pPr>
              <w:rPr>
                <w:sz w:val="20"/>
                <w:szCs w:val="20"/>
              </w:rPr>
            </w:pPr>
            <w:r w:rsidRPr="00AA2347">
              <w:rPr>
                <w:sz w:val="20"/>
                <w:szCs w:val="20"/>
              </w:rPr>
              <w:t xml:space="preserve">  Bonta &amp; Yessine (2005)</w:t>
            </w:r>
          </w:p>
        </w:tc>
        <w:tc>
          <w:tcPr>
            <w:tcW w:w="0" w:type="auto"/>
          </w:tcPr>
          <w:p w:rsidR="000C53C2" w:rsidRPr="00AA2347" w:rsidRDefault="000C53C2" w:rsidP="009B5ED1">
            <w:pPr>
              <w:rPr>
                <w:sz w:val="20"/>
                <w:szCs w:val="20"/>
              </w:rPr>
            </w:pPr>
            <w:r w:rsidRPr="00AA2347">
              <w:rPr>
                <w:sz w:val="20"/>
                <w:szCs w:val="20"/>
              </w:rPr>
              <w:t>Conviction</w:t>
            </w:r>
          </w:p>
        </w:tc>
        <w:tc>
          <w:tcPr>
            <w:tcW w:w="0" w:type="auto"/>
            <w:vAlign w:val="center"/>
          </w:tcPr>
          <w:p w:rsidR="000C53C2" w:rsidRPr="00AA2347" w:rsidRDefault="000C53C2" w:rsidP="009B5ED1">
            <w:pPr>
              <w:jc w:val="right"/>
              <w:rPr>
                <w:sz w:val="20"/>
                <w:szCs w:val="20"/>
              </w:rPr>
            </w:pPr>
            <w:r w:rsidRPr="00AA2347">
              <w:rPr>
                <w:sz w:val="20"/>
                <w:szCs w:val="20"/>
              </w:rPr>
              <w:t>5.6 (2.4)</w:t>
            </w:r>
          </w:p>
        </w:tc>
        <w:tc>
          <w:tcPr>
            <w:tcW w:w="0" w:type="auto"/>
          </w:tcPr>
          <w:p w:rsidR="000C53C2" w:rsidRPr="00AA2347" w:rsidRDefault="000C53C2" w:rsidP="009B5ED1">
            <w:pPr>
              <w:jc w:val="right"/>
              <w:rPr>
                <w:sz w:val="20"/>
                <w:szCs w:val="20"/>
              </w:rPr>
            </w:pPr>
            <w:r w:rsidRPr="00AA2347">
              <w:rPr>
                <w:sz w:val="20"/>
                <w:szCs w:val="20"/>
              </w:rPr>
              <w:t>132</w:t>
            </w:r>
          </w:p>
        </w:tc>
        <w:tc>
          <w:tcPr>
            <w:tcW w:w="0" w:type="auto"/>
          </w:tcPr>
          <w:p w:rsidR="000C53C2" w:rsidRPr="00AA2347" w:rsidRDefault="000C53C2" w:rsidP="009B5ED1">
            <w:pPr>
              <w:jc w:val="right"/>
              <w:rPr>
                <w:sz w:val="20"/>
                <w:szCs w:val="20"/>
              </w:rPr>
            </w:pPr>
            <w:r w:rsidRPr="00AA2347">
              <w:rPr>
                <w:sz w:val="20"/>
                <w:szCs w:val="20"/>
              </w:rPr>
              <w:t>15.9</w:t>
            </w:r>
          </w:p>
        </w:tc>
        <w:tc>
          <w:tcPr>
            <w:tcW w:w="0" w:type="auto"/>
          </w:tcPr>
          <w:p w:rsidR="000C53C2" w:rsidRPr="00AA2347" w:rsidRDefault="000C53C2" w:rsidP="009B5ED1">
            <w:pPr>
              <w:jc w:val="center"/>
              <w:rPr>
                <w:sz w:val="20"/>
                <w:szCs w:val="20"/>
              </w:rPr>
            </w:pPr>
            <w:r w:rsidRPr="00AA2347">
              <w:rPr>
                <w:sz w:val="20"/>
                <w:szCs w:val="20"/>
              </w:rPr>
              <w:t>127</w:t>
            </w:r>
          </w:p>
        </w:tc>
        <w:tc>
          <w:tcPr>
            <w:tcW w:w="0" w:type="auto"/>
          </w:tcPr>
          <w:p w:rsidR="000C53C2" w:rsidRPr="00AA2347" w:rsidRDefault="000C53C2" w:rsidP="009B5ED1">
            <w:pPr>
              <w:jc w:val="center"/>
              <w:rPr>
                <w:sz w:val="20"/>
                <w:szCs w:val="20"/>
              </w:rPr>
            </w:pPr>
            <w:r w:rsidRPr="00AA2347">
              <w:rPr>
                <w:sz w:val="20"/>
                <w:szCs w:val="20"/>
              </w:rPr>
              <w:t>38.6</w:t>
            </w:r>
          </w:p>
        </w:tc>
      </w:tr>
      <w:tr w:rsidR="000C53C2" w:rsidRPr="00AA2347" w:rsidTr="009B5ED1">
        <w:tc>
          <w:tcPr>
            <w:tcW w:w="0" w:type="auto"/>
          </w:tcPr>
          <w:p w:rsidR="000C53C2" w:rsidRPr="00AA2347" w:rsidRDefault="000C53C2" w:rsidP="009B5ED1">
            <w:pPr>
              <w:rPr>
                <w:sz w:val="20"/>
                <w:szCs w:val="20"/>
              </w:rPr>
            </w:pPr>
            <w:r w:rsidRPr="00AA2347">
              <w:rPr>
                <w:sz w:val="20"/>
                <w:szCs w:val="20"/>
              </w:rPr>
              <w:t xml:space="preserve">  Haag (2005)</w:t>
            </w:r>
          </w:p>
        </w:tc>
        <w:tc>
          <w:tcPr>
            <w:tcW w:w="0" w:type="auto"/>
          </w:tcPr>
          <w:p w:rsidR="000C53C2" w:rsidRPr="00AA2347" w:rsidRDefault="000C53C2" w:rsidP="009B5ED1">
            <w:pPr>
              <w:rPr>
                <w:sz w:val="20"/>
                <w:szCs w:val="20"/>
              </w:rPr>
            </w:pPr>
            <w:r w:rsidRPr="00AA2347">
              <w:rPr>
                <w:sz w:val="20"/>
                <w:szCs w:val="20"/>
              </w:rPr>
              <w:t>Conviction</w:t>
            </w:r>
          </w:p>
        </w:tc>
        <w:tc>
          <w:tcPr>
            <w:tcW w:w="0" w:type="auto"/>
            <w:vAlign w:val="center"/>
          </w:tcPr>
          <w:p w:rsidR="000C53C2" w:rsidRPr="00AA2347" w:rsidRDefault="000C53C2" w:rsidP="009B5ED1">
            <w:pPr>
              <w:jc w:val="right"/>
              <w:rPr>
                <w:sz w:val="20"/>
                <w:szCs w:val="20"/>
              </w:rPr>
            </w:pPr>
            <w:r w:rsidRPr="00AA2347">
              <w:rPr>
                <w:sz w:val="20"/>
                <w:szCs w:val="20"/>
              </w:rPr>
              <w:t>7.0 (0.0)</w:t>
            </w:r>
          </w:p>
        </w:tc>
        <w:tc>
          <w:tcPr>
            <w:tcW w:w="0" w:type="auto"/>
          </w:tcPr>
          <w:p w:rsidR="000C53C2" w:rsidRPr="00AA2347" w:rsidRDefault="000C53C2" w:rsidP="009B5ED1">
            <w:pPr>
              <w:jc w:val="right"/>
              <w:rPr>
                <w:sz w:val="20"/>
                <w:szCs w:val="20"/>
              </w:rPr>
            </w:pPr>
            <w:r w:rsidRPr="00AA2347">
              <w:rPr>
                <w:sz w:val="20"/>
                <w:szCs w:val="20"/>
              </w:rPr>
              <w:t>198</w:t>
            </w:r>
          </w:p>
        </w:tc>
        <w:tc>
          <w:tcPr>
            <w:tcW w:w="0" w:type="auto"/>
          </w:tcPr>
          <w:p w:rsidR="000C53C2" w:rsidRPr="00AA2347" w:rsidRDefault="000C53C2" w:rsidP="009B5ED1">
            <w:pPr>
              <w:jc w:val="right"/>
              <w:rPr>
                <w:sz w:val="20"/>
                <w:szCs w:val="20"/>
              </w:rPr>
            </w:pPr>
            <w:r w:rsidRPr="00AA2347">
              <w:rPr>
                <w:sz w:val="20"/>
                <w:szCs w:val="20"/>
              </w:rPr>
              <w:t>25.3</w:t>
            </w:r>
          </w:p>
        </w:tc>
        <w:tc>
          <w:tcPr>
            <w:tcW w:w="0" w:type="auto"/>
          </w:tcPr>
          <w:p w:rsidR="000C53C2" w:rsidRPr="00AA2347" w:rsidRDefault="000C53C2" w:rsidP="009B5ED1">
            <w:pPr>
              <w:jc w:val="center"/>
              <w:rPr>
                <w:sz w:val="20"/>
                <w:szCs w:val="20"/>
              </w:rPr>
            </w:pPr>
          </w:p>
        </w:tc>
        <w:tc>
          <w:tcPr>
            <w:tcW w:w="0" w:type="auto"/>
          </w:tcPr>
          <w:p w:rsidR="000C53C2" w:rsidRPr="00AA2347" w:rsidRDefault="000C53C2" w:rsidP="009B5ED1">
            <w:pPr>
              <w:jc w:val="center"/>
              <w:rPr>
                <w:sz w:val="20"/>
                <w:szCs w:val="20"/>
              </w:rPr>
            </w:pPr>
          </w:p>
        </w:tc>
      </w:tr>
      <w:tr w:rsidR="000C53C2" w:rsidRPr="00AA2347" w:rsidTr="009B5ED1">
        <w:tc>
          <w:tcPr>
            <w:tcW w:w="0" w:type="auto"/>
          </w:tcPr>
          <w:p w:rsidR="000C53C2" w:rsidRPr="00AA2347" w:rsidRDefault="000C53C2" w:rsidP="009B5ED1">
            <w:pPr>
              <w:rPr>
                <w:sz w:val="20"/>
                <w:szCs w:val="20"/>
              </w:rPr>
            </w:pPr>
            <w:r w:rsidRPr="00AA2347">
              <w:rPr>
                <w:sz w:val="20"/>
                <w:szCs w:val="20"/>
              </w:rPr>
              <w:t xml:space="preserve">  Nicholaichuk (2001)</w:t>
            </w:r>
          </w:p>
        </w:tc>
        <w:tc>
          <w:tcPr>
            <w:tcW w:w="0" w:type="auto"/>
          </w:tcPr>
          <w:p w:rsidR="000C53C2" w:rsidRPr="00AA2347" w:rsidRDefault="000C53C2" w:rsidP="009B5ED1">
            <w:pPr>
              <w:rPr>
                <w:sz w:val="20"/>
                <w:szCs w:val="20"/>
              </w:rPr>
            </w:pPr>
            <w:r w:rsidRPr="00AA2347">
              <w:rPr>
                <w:sz w:val="20"/>
                <w:szCs w:val="20"/>
              </w:rPr>
              <w:t>Conviction</w:t>
            </w:r>
          </w:p>
        </w:tc>
        <w:tc>
          <w:tcPr>
            <w:tcW w:w="0" w:type="auto"/>
            <w:vAlign w:val="center"/>
          </w:tcPr>
          <w:p w:rsidR="000C53C2" w:rsidRPr="00AA2347" w:rsidRDefault="000C53C2" w:rsidP="009B5ED1">
            <w:pPr>
              <w:jc w:val="right"/>
              <w:rPr>
                <w:sz w:val="20"/>
                <w:szCs w:val="20"/>
              </w:rPr>
            </w:pPr>
            <w:r w:rsidRPr="00AA2347">
              <w:rPr>
                <w:sz w:val="20"/>
                <w:szCs w:val="20"/>
              </w:rPr>
              <w:t>6.6 (3.9)</w:t>
            </w:r>
          </w:p>
        </w:tc>
        <w:tc>
          <w:tcPr>
            <w:tcW w:w="0" w:type="auto"/>
          </w:tcPr>
          <w:p w:rsidR="000C53C2" w:rsidRPr="00AA2347" w:rsidRDefault="000C53C2" w:rsidP="009B5ED1">
            <w:pPr>
              <w:jc w:val="right"/>
              <w:rPr>
                <w:sz w:val="20"/>
                <w:szCs w:val="20"/>
              </w:rPr>
            </w:pPr>
            <w:r w:rsidRPr="00AA2347">
              <w:rPr>
                <w:sz w:val="20"/>
                <w:szCs w:val="20"/>
              </w:rPr>
              <w:t>272</w:t>
            </w:r>
          </w:p>
        </w:tc>
        <w:tc>
          <w:tcPr>
            <w:tcW w:w="0" w:type="auto"/>
          </w:tcPr>
          <w:p w:rsidR="000C53C2" w:rsidRPr="00AA2347" w:rsidRDefault="000C53C2" w:rsidP="009B5ED1">
            <w:pPr>
              <w:jc w:val="right"/>
              <w:rPr>
                <w:sz w:val="20"/>
                <w:szCs w:val="20"/>
              </w:rPr>
            </w:pPr>
            <w:r w:rsidRPr="00AA2347">
              <w:rPr>
                <w:sz w:val="20"/>
                <w:szCs w:val="20"/>
              </w:rPr>
              <w:t>19.1</w:t>
            </w:r>
          </w:p>
        </w:tc>
        <w:tc>
          <w:tcPr>
            <w:tcW w:w="0" w:type="auto"/>
          </w:tcPr>
          <w:p w:rsidR="000C53C2" w:rsidRPr="00AA2347" w:rsidRDefault="000C53C2" w:rsidP="009B5ED1">
            <w:pPr>
              <w:jc w:val="center"/>
              <w:rPr>
                <w:sz w:val="20"/>
                <w:szCs w:val="20"/>
              </w:rPr>
            </w:pPr>
          </w:p>
        </w:tc>
        <w:tc>
          <w:tcPr>
            <w:tcW w:w="0" w:type="auto"/>
          </w:tcPr>
          <w:p w:rsidR="000C53C2" w:rsidRPr="00AA2347" w:rsidRDefault="000C53C2" w:rsidP="009B5ED1">
            <w:pPr>
              <w:jc w:val="center"/>
              <w:rPr>
                <w:sz w:val="20"/>
                <w:szCs w:val="20"/>
              </w:rPr>
            </w:pPr>
          </w:p>
        </w:tc>
      </w:tr>
      <w:tr w:rsidR="000C53C2" w:rsidRPr="00AA2347" w:rsidTr="009B5ED1">
        <w:trPr>
          <w:trHeight w:val="198"/>
        </w:trPr>
        <w:tc>
          <w:tcPr>
            <w:tcW w:w="0" w:type="auto"/>
          </w:tcPr>
          <w:p w:rsidR="000C53C2" w:rsidRPr="00AA2347" w:rsidRDefault="000C53C2" w:rsidP="009B5ED1">
            <w:pPr>
              <w:rPr>
                <w:sz w:val="20"/>
                <w:szCs w:val="20"/>
                <w:lang w:val="fr-CA"/>
              </w:rPr>
            </w:pPr>
            <w:r w:rsidRPr="00AA2347">
              <w:rPr>
                <w:sz w:val="20"/>
                <w:szCs w:val="20"/>
                <w:lang w:val="fr-CA"/>
              </w:rPr>
              <w:t xml:space="preserve">  Wilson et al. (2007a &amp; b)</w:t>
            </w:r>
          </w:p>
        </w:tc>
        <w:tc>
          <w:tcPr>
            <w:tcW w:w="0" w:type="auto"/>
          </w:tcPr>
          <w:p w:rsidR="000C53C2" w:rsidRPr="00AA2347" w:rsidRDefault="000C53C2" w:rsidP="009B5ED1">
            <w:pPr>
              <w:rPr>
                <w:sz w:val="20"/>
                <w:szCs w:val="20"/>
              </w:rPr>
            </w:pPr>
            <w:r w:rsidRPr="00AA2347">
              <w:rPr>
                <w:sz w:val="20"/>
                <w:szCs w:val="20"/>
              </w:rPr>
              <w:t>Charges</w:t>
            </w:r>
          </w:p>
        </w:tc>
        <w:tc>
          <w:tcPr>
            <w:tcW w:w="0" w:type="auto"/>
            <w:vAlign w:val="center"/>
          </w:tcPr>
          <w:p w:rsidR="000C53C2" w:rsidRPr="00AA2347" w:rsidRDefault="000C53C2" w:rsidP="009B5ED1">
            <w:pPr>
              <w:jc w:val="right"/>
              <w:rPr>
                <w:sz w:val="20"/>
                <w:szCs w:val="20"/>
              </w:rPr>
            </w:pPr>
            <w:r w:rsidRPr="00AA2347">
              <w:rPr>
                <w:sz w:val="20"/>
                <w:szCs w:val="20"/>
              </w:rPr>
              <w:t>5.3 (2.9)</w:t>
            </w:r>
          </w:p>
        </w:tc>
        <w:tc>
          <w:tcPr>
            <w:tcW w:w="0" w:type="auto"/>
          </w:tcPr>
          <w:p w:rsidR="000C53C2" w:rsidRPr="00AA2347" w:rsidRDefault="000C53C2" w:rsidP="009B5ED1">
            <w:pPr>
              <w:jc w:val="right"/>
              <w:rPr>
                <w:sz w:val="20"/>
                <w:szCs w:val="20"/>
              </w:rPr>
            </w:pPr>
            <w:r w:rsidRPr="00AA2347">
              <w:rPr>
                <w:sz w:val="20"/>
                <w:szCs w:val="20"/>
              </w:rPr>
              <w:t>228</w:t>
            </w:r>
          </w:p>
        </w:tc>
        <w:tc>
          <w:tcPr>
            <w:tcW w:w="0" w:type="auto"/>
          </w:tcPr>
          <w:p w:rsidR="000C53C2" w:rsidRPr="00AA2347" w:rsidRDefault="000C53C2" w:rsidP="009B5ED1">
            <w:pPr>
              <w:jc w:val="right"/>
              <w:rPr>
                <w:sz w:val="20"/>
                <w:szCs w:val="20"/>
              </w:rPr>
            </w:pPr>
            <w:r w:rsidRPr="00AA2347">
              <w:rPr>
                <w:sz w:val="20"/>
                <w:szCs w:val="20"/>
              </w:rPr>
              <w:t>10.5</w:t>
            </w:r>
          </w:p>
        </w:tc>
        <w:tc>
          <w:tcPr>
            <w:tcW w:w="0" w:type="auto"/>
          </w:tcPr>
          <w:p w:rsidR="000C53C2" w:rsidRPr="00AA2347" w:rsidRDefault="000C53C2" w:rsidP="009B5ED1">
            <w:pPr>
              <w:jc w:val="center"/>
              <w:rPr>
                <w:sz w:val="20"/>
                <w:szCs w:val="20"/>
              </w:rPr>
            </w:pPr>
          </w:p>
        </w:tc>
        <w:tc>
          <w:tcPr>
            <w:tcW w:w="0" w:type="auto"/>
          </w:tcPr>
          <w:p w:rsidR="000C53C2" w:rsidRPr="00AA2347" w:rsidRDefault="000C53C2" w:rsidP="009B5ED1">
            <w:pPr>
              <w:jc w:val="center"/>
              <w:rPr>
                <w:sz w:val="20"/>
                <w:szCs w:val="20"/>
              </w:rPr>
            </w:pPr>
          </w:p>
        </w:tc>
      </w:tr>
      <w:tr w:rsidR="000C53C2" w:rsidRPr="00AA2347" w:rsidTr="009B5ED1">
        <w:trPr>
          <w:trHeight w:val="210"/>
        </w:trPr>
        <w:tc>
          <w:tcPr>
            <w:tcW w:w="0" w:type="auto"/>
          </w:tcPr>
          <w:p w:rsidR="000C53C2" w:rsidRPr="00AA2347" w:rsidRDefault="000C53C2" w:rsidP="009B5ED1">
            <w:pPr>
              <w:rPr>
                <w:b/>
                <w:sz w:val="20"/>
                <w:szCs w:val="20"/>
                <w:lang w:val="fr-CA"/>
              </w:rPr>
            </w:pPr>
            <w:r w:rsidRPr="00AA2347">
              <w:rPr>
                <w:b/>
                <w:sz w:val="20"/>
                <w:szCs w:val="20"/>
                <w:lang w:val="fr-CA"/>
              </w:rPr>
              <w:t>Other</w:t>
            </w:r>
          </w:p>
        </w:tc>
        <w:tc>
          <w:tcPr>
            <w:tcW w:w="0" w:type="auto"/>
          </w:tcPr>
          <w:p w:rsidR="000C53C2" w:rsidRPr="00AA2347" w:rsidRDefault="000C53C2" w:rsidP="009B5ED1">
            <w:pPr>
              <w:rPr>
                <w:sz w:val="20"/>
                <w:szCs w:val="20"/>
              </w:rPr>
            </w:pPr>
          </w:p>
        </w:tc>
        <w:tc>
          <w:tcPr>
            <w:tcW w:w="0" w:type="auto"/>
            <w:vAlign w:val="center"/>
          </w:tcPr>
          <w:p w:rsidR="000C53C2" w:rsidRPr="00AA2347" w:rsidRDefault="000C53C2" w:rsidP="009B5ED1">
            <w:pPr>
              <w:jc w:val="right"/>
              <w:rPr>
                <w:sz w:val="20"/>
                <w:szCs w:val="20"/>
              </w:rPr>
            </w:pPr>
          </w:p>
        </w:tc>
        <w:tc>
          <w:tcPr>
            <w:tcW w:w="0" w:type="auto"/>
          </w:tcPr>
          <w:p w:rsidR="000C53C2" w:rsidRPr="00AA2347" w:rsidRDefault="000C53C2" w:rsidP="009B5ED1">
            <w:pPr>
              <w:jc w:val="right"/>
              <w:rPr>
                <w:sz w:val="20"/>
                <w:szCs w:val="20"/>
              </w:rPr>
            </w:pPr>
          </w:p>
        </w:tc>
        <w:tc>
          <w:tcPr>
            <w:tcW w:w="0" w:type="auto"/>
          </w:tcPr>
          <w:p w:rsidR="000C53C2" w:rsidRPr="00AA2347" w:rsidRDefault="000C53C2" w:rsidP="009B5ED1">
            <w:pPr>
              <w:jc w:val="right"/>
              <w:rPr>
                <w:sz w:val="20"/>
                <w:szCs w:val="20"/>
              </w:rPr>
            </w:pPr>
          </w:p>
        </w:tc>
        <w:tc>
          <w:tcPr>
            <w:tcW w:w="0" w:type="auto"/>
          </w:tcPr>
          <w:p w:rsidR="000C53C2" w:rsidRPr="00AA2347" w:rsidRDefault="000C53C2" w:rsidP="009B5ED1">
            <w:pPr>
              <w:jc w:val="center"/>
              <w:rPr>
                <w:sz w:val="20"/>
                <w:szCs w:val="20"/>
              </w:rPr>
            </w:pPr>
          </w:p>
        </w:tc>
        <w:tc>
          <w:tcPr>
            <w:tcW w:w="0" w:type="auto"/>
          </w:tcPr>
          <w:p w:rsidR="000C53C2" w:rsidRPr="00AA2347" w:rsidRDefault="000C53C2" w:rsidP="009B5ED1">
            <w:pPr>
              <w:jc w:val="center"/>
              <w:rPr>
                <w:sz w:val="20"/>
                <w:szCs w:val="20"/>
              </w:rPr>
            </w:pPr>
          </w:p>
        </w:tc>
      </w:tr>
      <w:tr w:rsidR="000C53C2" w:rsidRPr="00AA2347" w:rsidTr="009B5ED1">
        <w:trPr>
          <w:trHeight w:val="165"/>
        </w:trPr>
        <w:tc>
          <w:tcPr>
            <w:tcW w:w="0" w:type="auto"/>
          </w:tcPr>
          <w:p w:rsidR="000C53C2" w:rsidRPr="00AA2347" w:rsidRDefault="000C53C2" w:rsidP="009B5ED1">
            <w:pPr>
              <w:rPr>
                <w:sz w:val="20"/>
                <w:szCs w:val="20"/>
                <w:lang w:val="fr-CA"/>
              </w:rPr>
            </w:pPr>
            <w:r w:rsidRPr="00AA2347">
              <w:rPr>
                <w:sz w:val="20"/>
                <w:szCs w:val="20"/>
                <w:lang w:val="fr-CA"/>
              </w:rPr>
              <w:t xml:space="preserve">  Cortoni &amp; Nunes (2008)</w:t>
            </w:r>
          </w:p>
        </w:tc>
        <w:tc>
          <w:tcPr>
            <w:tcW w:w="0" w:type="auto"/>
          </w:tcPr>
          <w:p w:rsidR="000C53C2" w:rsidRPr="00AA2347" w:rsidRDefault="000C53C2" w:rsidP="009B5ED1">
            <w:pPr>
              <w:rPr>
                <w:sz w:val="20"/>
                <w:szCs w:val="20"/>
              </w:rPr>
            </w:pPr>
            <w:r w:rsidRPr="00AA2347">
              <w:rPr>
                <w:sz w:val="20"/>
                <w:szCs w:val="20"/>
              </w:rPr>
              <w:t>Charges</w:t>
            </w:r>
          </w:p>
        </w:tc>
        <w:tc>
          <w:tcPr>
            <w:tcW w:w="0" w:type="auto"/>
            <w:vAlign w:val="center"/>
          </w:tcPr>
          <w:p w:rsidR="000C53C2" w:rsidRPr="00AA2347" w:rsidRDefault="000C53C2" w:rsidP="009B5ED1">
            <w:pPr>
              <w:jc w:val="right"/>
              <w:rPr>
                <w:sz w:val="20"/>
                <w:szCs w:val="20"/>
              </w:rPr>
            </w:pPr>
            <w:r w:rsidRPr="00AA2347">
              <w:rPr>
                <w:sz w:val="20"/>
                <w:szCs w:val="20"/>
              </w:rPr>
              <w:t>4.6 (0.6)</w:t>
            </w:r>
          </w:p>
        </w:tc>
        <w:tc>
          <w:tcPr>
            <w:tcW w:w="0" w:type="auto"/>
          </w:tcPr>
          <w:p w:rsidR="000C53C2" w:rsidRPr="00AA2347" w:rsidRDefault="000C53C2" w:rsidP="009B5ED1">
            <w:pPr>
              <w:jc w:val="right"/>
              <w:rPr>
                <w:sz w:val="20"/>
                <w:szCs w:val="20"/>
              </w:rPr>
            </w:pPr>
            <w:r w:rsidRPr="00AA2347">
              <w:rPr>
                <w:sz w:val="20"/>
                <w:szCs w:val="20"/>
              </w:rPr>
              <w:t>73</w:t>
            </w:r>
          </w:p>
        </w:tc>
        <w:tc>
          <w:tcPr>
            <w:tcW w:w="0" w:type="auto"/>
          </w:tcPr>
          <w:p w:rsidR="000C53C2" w:rsidRPr="00AA2347" w:rsidRDefault="000C53C2" w:rsidP="009B5ED1">
            <w:pPr>
              <w:jc w:val="right"/>
              <w:rPr>
                <w:sz w:val="20"/>
                <w:szCs w:val="20"/>
              </w:rPr>
            </w:pPr>
            <w:r w:rsidRPr="00AA2347">
              <w:rPr>
                <w:sz w:val="20"/>
                <w:szCs w:val="20"/>
              </w:rPr>
              <w:t>0.0</w:t>
            </w:r>
          </w:p>
        </w:tc>
        <w:tc>
          <w:tcPr>
            <w:tcW w:w="0" w:type="auto"/>
          </w:tcPr>
          <w:p w:rsidR="000C53C2" w:rsidRPr="00AA2347" w:rsidRDefault="000C53C2" w:rsidP="009B5ED1">
            <w:pPr>
              <w:jc w:val="center"/>
              <w:rPr>
                <w:sz w:val="20"/>
                <w:szCs w:val="20"/>
              </w:rPr>
            </w:pPr>
            <w:r w:rsidRPr="00AA2347">
              <w:rPr>
                <w:sz w:val="20"/>
                <w:szCs w:val="20"/>
              </w:rPr>
              <w:t>72</w:t>
            </w:r>
          </w:p>
        </w:tc>
        <w:tc>
          <w:tcPr>
            <w:tcW w:w="0" w:type="auto"/>
          </w:tcPr>
          <w:p w:rsidR="000C53C2" w:rsidRPr="00AA2347" w:rsidRDefault="000C53C2" w:rsidP="009B5ED1">
            <w:pPr>
              <w:jc w:val="center"/>
              <w:rPr>
                <w:sz w:val="20"/>
                <w:szCs w:val="20"/>
              </w:rPr>
            </w:pPr>
            <w:r w:rsidRPr="00AA2347">
              <w:rPr>
                <w:sz w:val="20"/>
                <w:szCs w:val="20"/>
              </w:rPr>
              <w:t>11.1</w:t>
            </w:r>
          </w:p>
        </w:tc>
      </w:tr>
      <w:tr w:rsidR="000C53C2" w:rsidRPr="00AA2347" w:rsidTr="009B5ED1">
        <w:trPr>
          <w:trHeight w:val="180"/>
        </w:trPr>
        <w:tc>
          <w:tcPr>
            <w:tcW w:w="0" w:type="auto"/>
          </w:tcPr>
          <w:p w:rsidR="000C53C2" w:rsidRPr="00AA2347" w:rsidRDefault="000C53C2" w:rsidP="009B5ED1">
            <w:pPr>
              <w:rPr>
                <w:sz w:val="20"/>
                <w:szCs w:val="20"/>
              </w:rPr>
            </w:pPr>
            <w:r w:rsidRPr="00AA2347">
              <w:rPr>
                <w:sz w:val="20"/>
                <w:szCs w:val="20"/>
              </w:rPr>
              <w:t xml:space="preserve">  Hill et al. (2008)</w:t>
            </w:r>
          </w:p>
        </w:tc>
        <w:tc>
          <w:tcPr>
            <w:tcW w:w="0" w:type="auto"/>
          </w:tcPr>
          <w:p w:rsidR="000C53C2" w:rsidRPr="00AA2347" w:rsidRDefault="000C53C2" w:rsidP="009B5ED1">
            <w:pPr>
              <w:rPr>
                <w:sz w:val="20"/>
                <w:szCs w:val="20"/>
              </w:rPr>
            </w:pPr>
            <w:r w:rsidRPr="00AA2347">
              <w:rPr>
                <w:sz w:val="20"/>
                <w:szCs w:val="20"/>
              </w:rPr>
              <w:t>Conviction</w:t>
            </w:r>
          </w:p>
        </w:tc>
        <w:tc>
          <w:tcPr>
            <w:tcW w:w="0" w:type="auto"/>
            <w:vAlign w:val="center"/>
          </w:tcPr>
          <w:p w:rsidR="000C53C2" w:rsidRPr="00AA2347" w:rsidRDefault="000C53C2" w:rsidP="009B5ED1">
            <w:pPr>
              <w:jc w:val="right"/>
              <w:rPr>
                <w:sz w:val="20"/>
                <w:szCs w:val="20"/>
              </w:rPr>
            </w:pPr>
            <w:r w:rsidRPr="00AA2347">
              <w:rPr>
                <w:sz w:val="20"/>
                <w:szCs w:val="20"/>
              </w:rPr>
              <w:t>12.6 (6.6)</w:t>
            </w:r>
          </w:p>
        </w:tc>
        <w:tc>
          <w:tcPr>
            <w:tcW w:w="0" w:type="auto"/>
          </w:tcPr>
          <w:p w:rsidR="000C53C2" w:rsidRPr="00AA2347" w:rsidRDefault="000C53C2" w:rsidP="009B5ED1">
            <w:pPr>
              <w:jc w:val="right"/>
              <w:rPr>
                <w:sz w:val="20"/>
                <w:szCs w:val="20"/>
              </w:rPr>
            </w:pPr>
            <w:r w:rsidRPr="00AA2347">
              <w:rPr>
                <w:sz w:val="20"/>
                <w:szCs w:val="20"/>
              </w:rPr>
              <w:t>86</w:t>
            </w:r>
          </w:p>
        </w:tc>
        <w:tc>
          <w:tcPr>
            <w:tcW w:w="0" w:type="auto"/>
          </w:tcPr>
          <w:p w:rsidR="000C53C2" w:rsidRPr="00AA2347" w:rsidRDefault="000C53C2" w:rsidP="009B5ED1">
            <w:pPr>
              <w:jc w:val="right"/>
              <w:rPr>
                <w:sz w:val="20"/>
                <w:szCs w:val="20"/>
              </w:rPr>
            </w:pPr>
            <w:r w:rsidRPr="00AA2347">
              <w:rPr>
                <w:sz w:val="20"/>
                <w:szCs w:val="20"/>
              </w:rPr>
              <w:t>15.1</w:t>
            </w:r>
          </w:p>
        </w:tc>
        <w:tc>
          <w:tcPr>
            <w:tcW w:w="0" w:type="auto"/>
          </w:tcPr>
          <w:p w:rsidR="000C53C2" w:rsidRPr="00AA2347" w:rsidRDefault="000C53C2" w:rsidP="009B5ED1">
            <w:pPr>
              <w:jc w:val="center"/>
              <w:rPr>
                <w:sz w:val="20"/>
                <w:szCs w:val="20"/>
              </w:rPr>
            </w:pPr>
            <w:r w:rsidRPr="00AA2347">
              <w:rPr>
                <w:sz w:val="20"/>
                <w:szCs w:val="20"/>
              </w:rPr>
              <w:t>84</w:t>
            </w:r>
          </w:p>
        </w:tc>
        <w:tc>
          <w:tcPr>
            <w:tcW w:w="0" w:type="auto"/>
          </w:tcPr>
          <w:p w:rsidR="000C53C2" w:rsidRPr="00AA2347" w:rsidRDefault="000C53C2" w:rsidP="009B5ED1">
            <w:pPr>
              <w:jc w:val="center"/>
              <w:rPr>
                <w:sz w:val="20"/>
                <w:szCs w:val="20"/>
              </w:rPr>
            </w:pPr>
            <w:r w:rsidRPr="00AA2347">
              <w:rPr>
                <w:sz w:val="20"/>
                <w:szCs w:val="20"/>
              </w:rPr>
              <w:t>53.6</w:t>
            </w:r>
          </w:p>
        </w:tc>
      </w:tr>
      <w:tr w:rsidR="000C53C2" w:rsidRPr="00AA2347" w:rsidTr="009B5ED1">
        <w:trPr>
          <w:trHeight w:val="315"/>
        </w:trPr>
        <w:tc>
          <w:tcPr>
            <w:tcW w:w="0" w:type="auto"/>
            <w:tcBorders>
              <w:bottom w:val="single" w:sz="12" w:space="0" w:color="auto"/>
            </w:tcBorders>
            <w:vAlign w:val="center"/>
          </w:tcPr>
          <w:p w:rsidR="000C53C2" w:rsidRPr="00AA2347" w:rsidRDefault="000C53C2" w:rsidP="009B5ED1">
            <w:pPr>
              <w:rPr>
                <w:sz w:val="20"/>
                <w:szCs w:val="20"/>
              </w:rPr>
            </w:pPr>
            <w:r w:rsidRPr="00AA2347">
              <w:rPr>
                <w:b/>
                <w:sz w:val="20"/>
                <w:szCs w:val="20"/>
              </w:rPr>
              <w:t>Total</w:t>
            </w:r>
          </w:p>
        </w:tc>
        <w:tc>
          <w:tcPr>
            <w:tcW w:w="0" w:type="auto"/>
            <w:tcBorders>
              <w:bottom w:val="single" w:sz="12" w:space="0" w:color="auto"/>
            </w:tcBorders>
          </w:tcPr>
          <w:p w:rsidR="000C53C2" w:rsidRPr="00AA2347" w:rsidRDefault="000C53C2" w:rsidP="009B5ED1">
            <w:pPr>
              <w:jc w:val="center"/>
              <w:rPr>
                <w:sz w:val="20"/>
                <w:szCs w:val="20"/>
              </w:rPr>
            </w:pPr>
          </w:p>
        </w:tc>
        <w:tc>
          <w:tcPr>
            <w:tcW w:w="0" w:type="auto"/>
            <w:tcBorders>
              <w:bottom w:val="single" w:sz="12" w:space="0" w:color="auto"/>
            </w:tcBorders>
            <w:vAlign w:val="center"/>
          </w:tcPr>
          <w:p w:rsidR="000C53C2" w:rsidRPr="00AA2347" w:rsidRDefault="000C53C2" w:rsidP="009B5ED1">
            <w:pPr>
              <w:jc w:val="right"/>
              <w:rPr>
                <w:sz w:val="20"/>
                <w:szCs w:val="20"/>
              </w:rPr>
            </w:pPr>
            <w:r w:rsidRPr="00AA2347">
              <w:rPr>
                <w:sz w:val="20"/>
                <w:szCs w:val="20"/>
              </w:rPr>
              <w:t>8.2 (5.3)</w:t>
            </w:r>
          </w:p>
        </w:tc>
        <w:tc>
          <w:tcPr>
            <w:tcW w:w="0" w:type="auto"/>
            <w:tcBorders>
              <w:bottom w:val="single" w:sz="12" w:space="0" w:color="auto"/>
            </w:tcBorders>
            <w:vAlign w:val="center"/>
          </w:tcPr>
          <w:p w:rsidR="000C53C2" w:rsidRPr="00AA2347" w:rsidRDefault="000C53C2" w:rsidP="009B5ED1">
            <w:pPr>
              <w:jc w:val="right"/>
              <w:rPr>
                <w:sz w:val="20"/>
                <w:szCs w:val="20"/>
              </w:rPr>
            </w:pPr>
            <w:r w:rsidRPr="00AA2347">
              <w:rPr>
                <w:sz w:val="20"/>
                <w:szCs w:val="20"/>
              </w:rPr>
              <w:t>7,225</w:t>
            </w:r>
          </w:p>
        </w:tc>
        <w:tc>
          <w:tcPr>
            <w:tcW w:w="0" w:type="auto"/>
            <w:tcBorders>
              <w:bottom w:val="single" w:sz="12" w:space="0" w:color="auto"/>
            </w:tcBorders>
            <w:vAlign w:val="center"/>
          </w:tcPr>
          <w:p w:rsidR="000C53C2" w:rsidRPr="00AA2347" w:rsidRDefault="000C53C2" w:rsidP="009B5ED1">
            <w:pPr>
              <w:jc w:val="right"/>
              <w:rPr>
                <w:sz w:val="20"/>
                <w:szCs w:val="20"/>
              </w:rPr>
            </w:pPr>
            <w:r w:rsidRPr="00AA2347">
              <w:rPr>
                <w:sz w:val="20"/>
                <w:szCs w:val="20"/>
              </w:rPr>
              <w:t>11.1</w:t>
            </w:r>
          </w:p>
        </w:tc>
        <w:tc>
          <w:tcPr>
            <w:tcW w:w="0" w:type="auto"/>
            <w:tcBorders>
              <w:bottom w:val="single" w:sz="12" w:space="0" w:color="auto"/>
            </w:tcBorders>
            <w:vAlign w:val="center"/>
          </w:tcPr>
          <w:p w:rsidR="000C53C2" w:rsidRPr="00AA2347" w:rsidRDefault="000C53C2" w:rsidP="009B5ED1">
            <w:pPr>
              <w:jc w:val="center"/>
              <w:rPr>
                <w:sz w:val="20"/>
                <w:szCs w:val="20"/>
              </w:rPr>
            </w:pPr>
            <w:r w:rsidRPr="00AA2347">
              <w:rPr>
                <w:sz w:val="20"/>
                <w:szCs w:val="20"/>
              </w:rPr>
              <w:t>4,078</w:t>
            </w:r>
          </w:p>
        </w:tc>
        <w:tc>
          <w:tcPr>
            <w:tcW w:w="0" w:type="auto"/>
            <w:tcBorders>
              <w:bottom w:val="single" w:sz="12" w:space="0" w:color="auto"/>
            </w:tcBorders>
            <w:vAlign w:val="center"/>
          </w:tcPr>
          <w:p w:rsidR="000C53C2" w:rsidRPr="00AA2347" w:rsidRDefault="000C53C2" w:rsidP="009B5ED1">
            <w:pPr>
              <w:jc w:val="center"/>
              <w:rPr>
                <w:sz w:val="20"/>
                <w:szCs w:val="20"/>
              </w:rPr>
            </w:pPr>
            <w:r w:rsidRPr="00AA2347">
              <w:rPr>
                <w:sz w:val="20"/>
                <w:szCs w:val="20"/>
              </w:rPr>
              <w:t>27.5</w:t>
            </w:r>
          </w:p>
        </w:tc>
      </w:tr>
    </w:tbl>
    <w:p w:rsidR="000C53C2" w:rsidRPr="00AA2347" w:rsidRDefault="000C53C2" w:rsidP="000C53C2">
      <w:pPr>
        <w:outlineLvl w:val="0"/>
        <w:rPr>
          <w:sz w:val="22"/>
          <w:szCs w:val="22"/>
          <w:lang w:val="en-US"/>
        </w:rPr>
      </w:pPr>
      <w:r w:rsidRPr="00AA2347">
        <w:rPr>
          <w:sz w:val="20"/>
          <w:szCs w:val="20"/>
        </w:rPr>
        <w:br w:type="page"/>
      </w:r>
      <w:r w:rsidRPr="00AA2347">
        <w:rPr>
          <w:sz w:val="22"/>
          <w:szCs w:val="22"/>
          <w:lang w:val="en-US"/>
        </w:rPr>
        <w:t>Table 3</w:t>
      </w:r>
      <w:r>
        <w:rPr>
          <w:sz w:val="22"/>
          <w:szCs w:val="22"/>
          <w:lang w:val="en-US"/>
        </w:rPr>
        <w:t xml:space="preserve">. </w:t>
      </w:r>
      <w:r w:rsidRPr="00AA2347">
        <w:rPr>
          <w:sz w:val="22"/>
          <w:szCs w:val="22"/>
          <w:lang w:val="en-US"/>
        </w:rPr>
        <w:t>Distribution of Cases at Different Follow-Up Periods According To Sample Type</w:t>
      </w:r>
    </w:p>
    <w:p w:rsidR="000C53C2" w:rsidRPr="00AA2347" w:rsidRDefault="000C53C2" w:rsidP="000C53C2">
      <w:pPr>
        <w:rPr>
          <w:sz w:val="22"/>
          <w:szCs w:val="22"/>
          <w:lang w:val="en-US"/>
        </w:rPr>
      </w:pPr>
    </w:p>
    <w:tbl>
      <w:tblPr>
        <w:tblStyle w:val="TableGrid"/>
        <w:tblW w:w="113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8"/>
        <w:gridCol w:w="1440"/>
        <w:gridCol w:w="900"/>
        <w:gridCol w:w="1260"/>
        <w:gridCol w:w="810"/>
        <w:gridCol w:w="1530"/>
        <w:gridCol w:w="720"/>
        <w:gridCol w:w="1080"/>
        <w:gridCol w:w="630"/>
        <w:gridCol w:w="990"/>
      </w:tblGrid>
      <w:tr w:rsidR="000C53C2" w:rsidRPr="00AA2347" w:rsidTr="009B5ED1">
        <w:trPr>
          <w:trHeight w:val="890"/>
        </w:trPr>
        <w:tc>
          <w:tcPr>
            <w:tcW w:w="1998" w:type="dxa"/>
            <w:vMerge w:val="restart"/>
            <w:tcBorders>
              <w:top w:val="single" w:sz="4" w:space="0" w:color="auto"/>
            </w:tcBorders>
          </w:tcPr>
          <w:p w:rsidR="000C53C2" w:rsidRPr="00AA2347" w:rsidRDefault="000C53C2" w:rsidP="009B5ED1">
            <w:pPr>
              <w:jc w:val="center"/>
              <w:rPr>
                <w:sz w:val="22"/>
                <w:szCs w:val="22"/>
                <w:lang w:val="en-US"/>
              </w:rPr>
            </w:pPr>
          </w:p>
          <w:p w:rsidR="000C53C2" w:rsidRPr="00AA2347" w:rsidRDefault="000C53C2" w:rsidP="009B5ED1">
            <w:pPr>
              <w:jc w:val="center"/>
              <w:rPr>
                <w:sz w:val="22"/>
                <w:szCs w:val="22"/>
                <w:lang w:val="en-US"/>
              </w:rPr>
            </w:pPr>
          </w:p>
          <w:p w:rsidR="000C53C2" w:rsidRPr="00AA2347" w:rsidRDefault="000C53C2" w:rsidP="009B5ED1">
            <w:pPr>
              <w:jc w:val="center"/>
              <w:rPr>
                <w:sz w:val="22"/>
                <w:szCs w:val="22"/>
                <w:lang w:val="en-US"/>
              </w:rPr>
            </w:pPr>
            <w:r w:rsidRPr="00AA2347">
              <w:rPr>
                <w:sz w:val="22"/>
                <w:szCs w:val="22"/>
                <w:lang w:val="en-US"/>
              </w:rPr>
              <w:t>Minimum Follow-up Time (Years)</w:t>
            </w:r>
          </w:p>
        </w:tc>
        <w:tc>
          <w:tcPr>
            <w:tcW w:w="8370" w:type="dxa"/>
            <w:gridSpan w:val="8"/>
            <w:tcBorders>
              <w:top w:val="single" w:sz="4" w:space="0" w:color="auto"/>
              <w:bottom w:val="single" w:sz="4" w:space="0" w:color="auto"/>
            </w:tcBorders>
          </w:tcPr>
          <w:p w:rsidR="000C53C2" w:rsidRPr="00AA2347" w:rsidRDefault="000C53C2" w:rsidP="009B5ED1">
            <w:pPr>
              <w:jc w:val="center"/>
              <w:rPr>
                <w:sz w:val="22"/>
                <w:szCs w:val="22"/>
                <w:lang w:val="en-US"/>
              </w:rPr>
            </w:pPr>
          </w:p>
          <w:p w:rsidR="000C53C2" w:rsidRPr="00AA2347" w:rsidRDefault="000C53C2" w:rsidP="009B5ED1">
            <w:pPr>
              <w:jc w:val="center"/>
              <w:rPr>
                <w:sz w:val="22"/>
                <w:szCs w:val="22"/>
                <w:lang w:val="en-US"/>
              </w:rPr>
            </w:pPr>
            <w:r w:rsidRPr="00AA2347">
              <w:rPr>
                <w:sz w:val="22"/>
                <w:szCs w:val="22"/>
                <w:lang w:val="en-US"/>
              </w:rPr>
              <w:t>Sample Type</w:t>
            </w:r>
          </w:p>
        </w:tc>
        <w:tc>
          <w:tcPr>
            <w:tcW w:w="990" w:type="dxa"/>
            <w:vMerge w:val="restart"/>
            <w:tcBorders>
              <w:top w:val="single" w:sz="4" w:space="0" w:color="auto"/>
            </w:tcBorders>
          </w:tcPr>
          <w:p w:rsidR="000C53C2" w:rsidRPr="00AA2347" w:rsidRDefault="000C53C2" w:rsidP="009B5ED1">
            <w:pPr>
              <w:rPr>
                <w:sz w:val="22"/>
                <w:szCs w:val="22"/>
                <w:lang w:val="en-US"/>
              </w:rPr>
            </w:pPr>
          </w:p>
          <w:p w:rsidR="000C53C2" w:rsidRPr="00AA2347" w:rsidRDefault="000C53C2" w:rsidP="009B5ED1">
            <w:pPr>
              <w:rPr>
                <w:sz w:val="22"/>
                <w:szCs w:val="22"/>
                <w:lang w:val="en-US"/>
              </w:rPr>
            </w:pPr>
          </w:p>
          <w:p w:rsidR="000C53C2" w:rsidRPr="00AA2347" w:rsidRDefault="000C53C2" w:rsidP="009B5ED1">
            <w:pPr>
              <w:jc w:val="center"/>
              <w:rPr>
                <w:sz w:val="22"/>
                <w:szCs w:val="22"/>
                <w:lang w:val="en-US"/>
              </w:rPr>
            </w:pPr>
            <w:r w:rsidRPr="00AA2347">
              <w:rPr>
                <w:sz w:val="22"/>
                <w:szCs w:val="22"/>
                <w:lang w:val="en-US"/>
              </w:rPr>
              <w:t>Total cases</w:t>
            </w:r>
          </w:p>
        </w:tc>
      </w:tr>
      <w:tr w:rsidR="000C53C2" w:rsidRPr="00AA2347" w:rsidTr="009B5ED1">
        <w:trPr>
          <w:trHeight w:val="890"/>
        </w:trPr>
        <w:tc>
          <w:tcPr>
            <w:tcW w:w="1998" w:type="dxa"/>
            <w:vMerge/>
            <w:tcBorders>
              <w:bottom w:val="single" w:sz="4" w:space="0" w:color="auto"/>
            </w:tcBorders>
          </w:tcPr>
          <w:p w:rsidR="000C53C2" w:rsidRPr="00AA2347" w:rsidRDefault="000C53C2" w:rsidP="009B5ED1">
            <w:pPr>
              <w:jc w:val="center"/>
              <w:rPr>
                <w:sz w:val="22"/>
                <w:szCs w:val="22"/>
                <w:lang w:val="en-US"/>
              </w:rPr>
            </w:pPr>
          </w:p>
        </w:tc>
        <w:tc>
          <w:tcPr>
            <w:tcW w:w="2340" w:type="dxa"/>
            <w:gridSpan w:val="2"/>
            <w:tcBorders>
              <w:top w:val="single" w:sz="4" w:space="0" w:color="auto"/>
              <w:bottom w:val="single" w:sz="4" w:space="0" w:color="auto"/>
            </w:tcBorders>
          </w:tcPr>
          <w:p w:rsidR="000C53C2" w:rsidRPr="00AA2347" w:rsidRDefault="000C53C2" w:rsidP="009B5ED1">
            <w:pPr>
              <w:jc w:val="center"/>
              <w:rPr>
                <w:sz w:val="22"/>
                <w:szCs w:val="22"/>
                <w:lang w:val="en-US"/>
              </w:rPr>
            </w:pPr>
          </w:p>
          <w:p w:rsidR="000C53C2" w:rsidRPr="00AA2347" w:rsidRDefault="000C53C2" w:rsidP="009B5ED1">
            <w:pPr>
              <w:jc w:val="center"/>
              <w:rPr>
                <w:sz w:val="22"/>
                <w:szCs w:val="22"/>
                <w:lang w:val="en-US"/>
              </w:rPr>
            </w:pPr>
            <w:r w:rsidRPr="00AA2347">
              <w:rPr>
                <w:sz w:val="22"/>
                <w:szCs w:val="22"/>
                <w:lang w:val="en-US"/>
              </w:rPr>
              <w:t>Routine/Complete</w:t>
            </w:r>
          </w:p>
        </w:tc>
        <w:tc>
          <w:tcPr>
            <w:tcW w:w="2070" w:type="dxa"/>
            <w:gridSpan w:val="2"/>
            <w:tcBorders>
              <w:top w:val="single" w:sz="4" w:space="0" w:color="auto"/>
              <w:bottom w:val="single" w:sz="4" w:space="0" w:color="auto"/>
            </w:tcBorders>
          </w:tcPr>
          <w:p w:rsidR="000C53C2" w:rsidRPr="00AA2347" w:rsidRDefault="000C53C2" w:rsidP="009B5ED1">
            <w:pPr>
              <w:jc w:val="center"/>
              <w:rPr>
                <w:sz w:val="22"/>
                <w:szCs w:val="22"/>
                <w:lang w:val="en-US"/>
              </w:rPr>
            </w:pPr>
          </w:p>
          <w:p w:rsidR="000C53C2" w:rsidRPr="00AA2347" w:rsidRDefault="000C53C2" w:rsidP="009B5ED1">
            <w:pPr>
              <w:jc w:val="center"/>
              <w:rPr>
                <w:sz w:val="22"/>
                <w:szCs w:val="22"/>
                <w:lang w:val="en-US"/>
              </w:rPr>
            </w:pPr>
            <w:r w:rsidRPr="00AA2347">
              <w:rPr>
                <w:sz w:val="22"/>
                <w:szCs w:val="22"/>
                <w:lang w:val="en-US"/>
              </w:rPr>
              <w:t>Treatment</w:t>
            </w:r>
          </w:p>
        </w:tc>
        <w:tc>
          <w:tcPr>
            <w:tcW w:w="2250" w:type="dxa"/>
            <w:gridSpan w:val="2"/>
            <w:tcBorders>
              <w:top w:val="single" w:sz="4" w:space="0" w:color="auto"/>
              <w:bottom w:val="single" w:sz="4" w:space="0" w:color="auto"/>
            </w:tcBorders>
          </w:tcPr>
          <w:p w:rsidR="000C53C2" w:rsidRPr="00AA2347" w:rsidRDefault="000C53C2" w:rsidP="009B5ED1">
            <w:pPr>
              <w:jc w:val="center"/>
              <w:rPr>
                <w:sz w:val="22"/>
                <w:szCs w:val="22"/>
                <w:lang w:val="en-US"/>
              </w:rPr>
            </w:pPr>
          </w:p>
          <w:p w:rsidR="000C53C2" w:rsidRPr="00AA2347" w:rsidRDefault="000C53C2" w:rsidP="009B5ED1">
            <w:pPr>
              <w:jc w:val="center"/>
              <w:rPr>
                <w:sz w:val="22"/>
                <w:szCs w:val="22"/>
                <w:lang w:val="en-US"/>
              </w:rPr>
            </w:pPr>
            <w:r w:rsidRPr="00AA2347">
              <w:rPr>
                <w:sz w:val="22"/>
                <w:szCs w:val="22"/>
                <w:lang w:val="en-US"/>
              </w:rPr>
              <w:t>High Risk/High Need</w:t>
            </w:r>
          </w:p>
        </w:tc>
        <w:tc>
          <w:tcPr>
            <w:tcW w:w="1710" w:type="dxa"/>
            <w:gridSpan w:val="2"/>
            <w:tcBorders>
              <w:top w:val="single" w:sz="4" w:space="0" w:color="auto"/>
              <w:bottom w:val="single" w:sz="4" w:space="0" w:color="auto"/>
            </w:tcBorders>
          </w:tcPr>
          <w:p w:rsidR="000C53C2" w:rsidRPr="00AA2347" w:rsidRDefault="000C53C2" w:rsidP="009B5ED1">
            <w:pPr>
              <w:jc w:val="center"/>
              <w:rPr>
                <w:sz w:val="22"/>
                <w:szCs w:val="22"/>
                <w:lang w:val="en-US"/>
              </w:rPr>
            </w:pPr>
          </w:p>
          <w:p w:rsidR="000C53C2" w:rsidRPr="00AA2347" w:rsidRDefault="000C53C2" w:rsidP="009B5ED1">
            <w:pPr>
              <w:jc w:val="center"/>
              <w:rPr>
                <w:sz w:val="22"/>
                <w:szCs w:val="22"/>
                <w:lang w:val="en-US"/>
              </w:rPr>
            </w:pPr>
            <w:r w:rsidRPr="00AA2347">
              <w:rPr>
                <w:sz w:val="22"/>
                <w:szCs w:val="22"/>
                <w:lang w:val="en-US"/>
              </w:rPr>
              <w:t>Other</w:t>
            </w:r>
          </w:p>
        </w:tc>
        <w:tc>
          <w:tcPr>
            <w:tcW w:w="990" w:type="dxa"/>
            <w:vMerge/>
            <w:tcBorders>
              <w:bottom w:val="single" w:sz="4" w:space="0" w:color="auto"/>
            </w:tcBorders>
          </w:tcPr>
          <w:p w:rsidR="000C53C2" w:rsidRPr="00AA2347" w:rsidRDefault="000C53C2" w:rsidP="009B5ED1">
            <w:pPr>
              <w:rPr>
                <w:sz w:val="22"/>
                <w:szCs w:val="22"/>
                <w:lang w:val="en-US"/>
              </w:rPr>
            </w:pPr>
          </w:p>
        </w:tc>
      </w:tr>
      <w:tr w:rsidR="000C53C2" w:rsidRPr="00AA2347" w:rsidTr="009B5ED1">
        <w:tc>
          <w:tcPr>
            <w:tcW w:w="1998" w:type="dxa"/>
            <w:tcBorders>
              <w:top w:val="single" w:sz="4" w:space="0" w:color="auto"/>
            </w:tcBorders>
          </w:tcPr>
          <w:p w:rsidR="000C53C2" w:rsidRPr="00AA2347" w:rsidRDefault="000C53C2" w:rsidP="009B5ED1">
            <w:pPr>
              <w:jc w:val="center"/>
              <w:rPr>
                <w:sz w:val="22"/>
                <w:szCs w:val="22"/>
                <w:lang w:val="en-US"/>
              </w:rPr>
            </w:pPr>
          </w:p>
        </w:tc>
        <w:tc>
          <w:tcPr>
            <w:tcW w:w="1440" w:type="dxa"/>
            <w:tcBorders>
              <w:top w:val="single" w:sz="4" w:space="0" w:color="auto"/>
            </w:tcBorders>
            <w:vAlign w:val="center"/>
          </w:tcPr>
          <w:p w:rsidR="000C53C2" w:rsidRPr="00AA2347" w:rsidRDefault="000C53C2" w:rsidP="009B5ED1">
            <w:pPr>
              <w:jc w:val="center"/>
              <w:rPr>
                <w:sz w:val="22"/>
                <w:szCs w:val="22"/>
                <w:lang w:val="en-US"/>
              </w:rPr>
            </w:pPr>
          </w:p>
          <w:p w:rsidR="000C53C2" w:rsidRPr="005E6226" w:rsidRDefault="000C53C2" w:rsidP="009B5ED1">
            <w:pPr>
              <w:jc w:val="center"/>
              <w:rPr>
                <w:sz w:val="22"/>
                <w:szCs w:val="22"/>
                <w:lang w:val="en-US"/>
              </w:rPr>
            </w:pPr>
            <w:r w:rsidRPr="00AA2347">
              <w:rPr>
                <w:sz w:val="22"/>
                <w:szCs w:val="22"/>
                <w:lang w:val="en-US"/>
              </w:rPr>
              <w:t>%</w:t>
            </w:r>
          </w:p>
        </w:tc>
        <w:tc>
          <w:tcPr>
            <w:tcW w:w="900" w:type="dxa"/>
            <w:tcBorders>
              <w:top w:val="single" w:sz="4" w:space="0" w:color="auto"/>
            </w:tcBorders>
            <w:vAlign w:val="center"/>
          </w:tcPr>
          <w:p w:rsidR="000C53C2" w:rsidRPr="00AA2347" w:rsidRDefault="000C53C2" w:rsidP="009B5ED1">
            <w:pPr>
              <w:jc w:val="center"/>
              <w:rPr>
                <w:sz w:val="22"/>
                <w:szCs w:val="22"/>
                <w:lang w:val="en-US"/>
              </w:rPr>
            </w:pPr>
          </w:p>
          <w:p w:rsidR="000C53C2" w:rsidRPr="00AA2347" w:rsidRDefault="000C53C2" w:rsidP="009B5ED1">
            <w:pPr>
              <w:jc w:val="center"/>
              <w:rPr>
                <w:i/>
                <w:sz w:val="22"/>
                <w:szCs w:val="22"/>
                <w:lang w:val="en-US"/>
              </w:rPr>
            </w:pPr>
            <w:r w:rsidRPr="00AA2347">
              <w:rPr>
                <w:i/>
                <w:sz w:val="22"/>
                <w:szCs w:val="22"/>
                <w:lang w:val="en-US"/>
              </w:rPr>
              <w:t>N</w:t>
            </w:r>
          </w:p>
        </w:tc>
        <w:tc>
          <w:tcPr>
            <w:tcW w:w="1260" w:type="dxa"/>
            <w:tcBorders>
              <w:top w:val="single" w:sz="4" w:space="0" w:color="auto"/>
            </w:tcBorders>
            <w:vAlign w:val="center"/>
          </w:tcPr>
          <w:p w:rsidR="000C53C2" w:rsidRPr="00AA2347" w:rsidRDefault="000C53C2" w:rsidP="009B5ED1">
            <w:pPr>
              <w:jc w:val="center"/>
              <w:rPr>
                <w:sz w:val="22"/>
                <w:szCs w:val="22"/>
                <w:lang w:val="en-US"/>
              </w:rPr>
            </w:pPr>
          </w:p>
          <w:p w:rsidR="000C53C2" w:rsidRPr="00AA2347" w:rsidRDefault="000C53C2" w:rsidP="009B5ED1">
            <w:pPr>
              <w:jc w:val="center"/>
              <w:rPr>
                <w:sz w:val="22"/>
                <w:szCs w:val="22"/>
              </w:rPr>
            </w:pPr>
            <w:r w:rsidRPr="00AA2347">
              <w:rPr>
                <w:sz w:val="22"/>
                <w:szCs w:val="22"/>
                <w:lang w:val="en-US"/>
              </w:rPr>
              <w:t>%</w:t>
            </w:r>
          </w:p>
        </w:tc>
        <w:tc>
          <w:tcPr>
            <w:tcW w:w="810" w:type="dxa"/>
            <w:tcBorders>
              <w:top w:val="single" w:sz="4" w:space="0" w:color="auto"/>
            </w:tcBorders>
            <w:vAlign w:val="center"/>
          </w:tcPr>
          <w:p w:rsidR="000C53C2" w:rsidRPr="00AA2347" w:rsidRDefault="000C53C2" w:rsidP="009B5ED1">
            <w:pPr>
              <w:jc w:val="center"/>
              <w:rPr>
                <w:sz w:val="22"/>
                <w:szCs w:val="22"/>
                <w:lang w:val="en-US"/>
              </w:rPr>
            </w:pPr>
          </w:p>
          <w:p w:rsidR="000C53C2" w:rsidRPr="00AA2347" w:rsidRDefault="000C53C2" w:rsidP="009B5ED1">
            <w:pPr>
              <w:jc w:val="center"/>
              <w:rPr>
                <w:i/>
                <w:sz w:val="22"/>
                <w:szCs w:val="22"/>
                <w:lang w:val="en-US"/>
              </w:rPr>
            </w:pPr>
            <w:r w:rsidRPr="00AA2347">
              <w:rPr>
                <w:i/>
                <w:sz w:val="22"/>
                <w:szCs w:val="22"/>
                <w:lang w:val="en-US"/>
              </w:rPr>
              <w:t>N</w:t>
            </w:r>
          </w:p>
        </w:tc>
        <w:tc>
          <w:tcPr>
            <w:tcW w:w="1530" w:type="dxa"/>
            <w:tcBorders>
              <w:top w:val="single" w:sz="4" w:space="0" w:color="auto"/>
            </w:tcBorders>
            <w:vAlign w:val="center"/>
          </w:tcPr>
          <w:p w:rsidR="000C53C2" w:rsidRPr="00AA2347" w:rsidRDefault="000C53C2" w:rsidP="009B5ED1">
            <w:pPr>
              <w:jc w:val="center"/>
              <w:rPr>
                <w:sz w:val="22"/>
                <w:szCs w:val="22"/>
                <w:lang w:val="en-US"/>
              </w:rPr>
            </w:pPr>
          </w:p>
          <w:p w:rsidR="000C53C2" w:rsidRPr="00AA2347" w:rsidRDefault="000C53C2" w:rsidP="009B5ED1">
            <w:pPr>
              <w:jc w:val="center"/>
              <w:rPr>
                <w:sz w:val="22"/>
                <w:szCs w:val="22"/>
              </w:rPr>
            </w:pPr>
            <w:r w:rsidRPr="00AA2347">
              <w:rPr>
                <w:sz w:val="22"/>
                <w:szCs w:val="22"/>
                <w:lang w:val="en-US"/>
              </w:rPr>
              <w:t>%</w:t>
            </w:r>
          </w:p>
        </w:tc>
        <w:tc>
          <w:tcPr>
            <w:tcW w:w="720" w:type="dxa"/>
            <w:tcBorders>
              <w:top w:val="single" w:sz="4" w:space="0" w:color="auto"/>
            </w:tcBorders>
            <w:vAlign w:val="center"/>
          </w:tcPr>
          <w:p w:rsidR="000C53C2" w:rsidRPr="00AA2347" w:rsidRDefault="000C53C2" w:rsidP="009B5ED1">
            <w:pPr>
              <w:jc w:val="center"/>
              <w:rPr>
                <w:sz w:val="22"/>
                <w:szCs w:val="22"/>
                <w:lang w:val="en-US"/>
              </w:rPr>
            </w:pPr>
          </w:p>
          <w:p w:rsidR="000C53C2" w:rsidRPr="00AA2347" w:rsidRDefault="000C53C2" w:rsidP="009B5ED1">
            <w:pPr>
              <w:jc w:val="center"/>
              <w:rPr>
                <w:i/>
                <w:sz w:val="22"/>
                <w:szCs w:val="22"/>
                <w:lang w:val="en-US"/>
              </w:rPr>
            </w:pPr>
            <w:r w:rsidRPr="00AA2347">
              <w:rPr>
                <w:i/>
                <w:sz w:val="22"/>
                <w:szCs w:val="22"/>
                <w:lang w:val="en-US"/>
              </w:rPr>
              <w:t>N</w:t>
            </w:r>
          </w:p>
        </w:tc>
        <w:tc>
          <w:tcPr>
            <w:tcW w:w="1080" w:type="dxa"/>
            <w:tcBorders>
              <w:top w:val="single" w:sz="4" w:space="0" w:color="auto"/>
            </w:tcBorders>
            <w:vAlign w:val="center"/>
          </w:tcPr>
          <w:p w:rsidR="000C53C2" w:rsidRPr="00AA2347" w:rsidRDefault="000C53C2" w:rsidP="009B5ED1">
            <w:pPr>
              <w:jc w:val="center"/>
              <w:rPr>
                <w:sz w:val="22"/>
                <w:szCs w:val="22"/>
                <w:lang w:val="en-US"/>
              </w:rPr>
            </w:pPr>
          </w:p>
          <w:p w:rsidR="000C53C2" w:rsidRPr="00AA2347" w:rsidRDefault="000C53C2" w:rsidP="009B5ED1">
            <w:pPr>
              <w:jc w:val="center"/>
              <w:rPr>
                <w:sz w:val="22"/>
                <w:szCs w:val="22"/>
                <w:lang w:val="en-US"/>
              </w:rPr>
            </w:pPr>
            <w:r w:rsidRPr="00AA2347">
              <w:rPr>
                <w:sz w:val="22"/>
                <w:szCs w:val="22"/>
                <w:lang w:val="en-US"/>
              </w:rPr>
              <w:t>%</w:t>
            </w:r>
          </w:p>
        </w:tc>
        <w:tc>
          <w:tcPr>
            <w:tcW w:w="630" w:type="dxa"/>
            <w:tcBorders>
              <w:top w:val="single" w:sz="4" w:space="0" w:color="auto"/>
            </w:tcBorders>
            <w:vAlign w:val="center"/>
          </w:tcPr>
          <w:p w:rsidR="000C53C2" w:rsidRPr="00AA2347" w:rsidRDefault="000C53C2" w:rsidP="009B5ED1">
            <w:pPr>
              <w:jc w:val="center"/>
              <w:rPr>
                <w:i/>
                <w:sz w:val="22"/>
                <w:szCs w:val="22"/>
                <w:lang w:val="en-US"/>
              </w:rPr>
            </w:pPr>
          </w:p>
          <w:p w:rsidR="000C53C2" w:rsidRPr="00AA2347" w:rsidRDefault="000C53C2" w:rsidP="009B5ED1">
            <w:pPr>
              <w:jc w:val="center"/>
              <w:rPr>
                <w:i/>
                <w:sz w:val="22"/>
                <w:szCs w:val="22"/>
                <w:lang w:val="en-US"/>
              </w:rPr>
            </w:pPr>
            <w:r w:rsidRPr="00AA2347">
              <w:rPr>
                <w:i/>
                <w:sz w:val="22"/>
                <w:szCs w:val="22"/>
                <w:lang w:val="en-US"/>
              </w:rPr>
              <w:t>N</w:t>
            </w:r>
          </w:p>
        </w:tc>
        <w:tc>
          <w:tcPr>
            <w:tcW w:w="990" w:type="dxa"/>
            <w:tcBorders>
              <w:top w:val="single" w:sz="4" w:space="0" w:color="auto"/>
            </w:tcBorders>
            <w:vAlign w:val="center"/>
          </w:tcPr>
          <w:p w:rsidR="000C53C2" w:rsidRPr="00AA2347" w:rsidRDefault="000C53C2" w:rsidP="009B5ED1">
            <w:pPr>
              <w:jc w:val="center"/>
              <w:rPr>
                <w:i/>
                <w:sz w:val="22"/>
                <w:szCs w:val="22"/>
                <w:lang w:val="en-US"/>
              </w:rPr>
            </w:pPr>
          </w:p>
          <w:p w:rsidR="000C53C2" w:rsidRPr="00AA2347" w:rsidRDefault="000C53C2" w:rsidP="009B5ED1">
            <w:pPr>
              <w:jc w:val="center"/>
              <w:rPr>
                <w:i/>
                <w:sz w:val="22"/>
                <w:szCs w:val="22"/>
                <w:lang w:val="en-US"/>
              </w:rPr>
            </w:pPr>
            <w:r w:rsidRPr="00AA2347">
              <w:rPr>
                <w:i/>
                <w:sz w:val="22"/>
                <w:szCs w:val="22"/>
                <w:lang w:val="en-US"/>
              </w:rPr>
              <w:t>N</w:t>
            </w:r>
          </w:p>
        </w:tc>
      </w:tr>
      <w:tr w:rsidR="000C53C2" w:rsidRPr="00AA2347" w:rsidTr="00240B72">
        <w:tc>
          <w:tcPr>
            <w:tcW w:w="1998" w:type="dxa"/>
          </w:tcPr>
          <w:p w:rsidR="00240B72" w:rsidRDefault="00240B72" w:rsidP="009B5ED1">
            <w:pPr>
              <w:jc w:val="center"/>
              <w:rPr>
                <w:sz w:val="22"/>
                <w:szCs w:val="22"/>
                <w:lang w:val="en-US"/>
              </w:rPr>
            </w:pPr>
          </w:p>
          <w:p w:rsidR="00240B72" w:rsidRDefault="000C53C2" w:rsidP="009B5ED1">
            <w:pPr>
              <w:jc w:val="center"/>
              <w:rPr>
                <w:sz w:val="22"/>
                <w:szCs w:val="22"/>
                <w:lang w:val="en-US"/>
              </w:rPr>
            </w:pPr>
            <w:r w:rsidRPr="00AA2347">
              <w:rPr>
                <w:sz w:val="22"/>
                <w:szCs w:val="22"/>
                <w:lang w:val="en-US"/>
              </w:rPr>
              <w:t>.5</w:t>
            </w:r>
          </w:p>
          <w:p w:rsidR="000C53C2" w:rsidRPr="00AA2347" w:rsidRDefault="000C53C2" w:rsidP="009B5ED1">
            <w:pPr>
              <w:jc w:val="center"/>
              <w:rPr>
                <w:sz w:val="22"/>
                <w:szCs w:val="22"/>
                <w:lang w:val="en-US"/>
              </w:rPr>
            </w:pPr>
            <w:r w:rsidRPr="00AA2347">
              <w:rPr>
                <w:sz w:val="22"/>
                <w:szCs w:val="22"/>
                <w:lang w:val="en-US"/>
              </w:rPr>
              <w:t xml:space="preserve"> </w:t>
            </w:r>
          </w:p>
        </w:tc>
        <w:tc>
          <w:tcPr>
            <w:tcW w:w="1440" w:type="dxa"/>
            <w:vAlign w:val="center"/>
          </w:tcPr>
          <w:p w:rsidR="000C53C2" w:rsidRPr="00AA2347" w:rsidRDefault="000C53C2" w:rsidP="00240B72">
            <w:pPr>
              <w:jc w:val="center"/>
              <w:rPr>
                <w:sz w:val="22"/>
                <w:szCs w:val="22"/>
                <w:lang w:val="en-US"/>
              </w:rPr>
            </w:pPr>
            <w:r w:rsidRPr="00AA2347">
              <w:rPr>
                <w:sz w:val="22"/>
                <w:szCs w:val="22"/>
                <w:lang w:val="en-US"/>
              </w:rPr>
              <w:t>55.7</w:t>
            </w:r>
          </w:p>
        </w:tc>
        <w:tc>
          <w:tcPr>
            <w:tcW w:w="900" w:type="dxa"/>
            <w:vAlign w:val="center"/>
          </w:tcPr>
          <w:p w:rsidR="000C53C2" w:rsidRPr="00AA2347" w:rsidRDefault="000C53C2" w:rsidP="00240B72">
            <w:pPr>
              <w:jc w:val="center"/>
              <w:rPr>
                <w:sz w:val="22"/>
                <w:szCs w:val="22"/>
                <w:lang w:val="en-US"/>
              </w:rPr>
            </w:pPr>
            <w:r w:rsidRPr="00AA2347">
              <w:rPr>
                <w:sz w:val="22"/>
                <w:szCs w:val="22"/>
                <w:lang w:val="en-US"/>
              </w:rPr>
              <w:t>4,026</w:t>
            </w:r>
          </w:p>
        </w:tc>
        <w:tc>
          <w:tcPr>
            <w:tcW w:w="1260" w:type="dxa"/>
            <w:vAlign w:val="center"/>
          </w:tcPr>
          <w:p w:rsidR="000C53C2" w:rsidRPr="00AA2347" w:rsidRDefault="000C53C2" w:rsidP="00240B72">
            <w:pPr>
              <w:jc w:val="center"/>
              <w:rPr>
                <w:sz w:val="22"/>
                <w:szCs w:val="22"/>
                <w:lang w:val="en-US"/>
              </w:rPr>
            </w:pPr>
            <w:r w:rsidRPr="00AA2347">
              <w:rPr>
                <w:sz w:val="22"/>
                <w:szCs w:val="22"/>
                <w:lang w:val="en-US"/>
              </w:rPr>
              <w:t>26.3</w:t>
            </w:r>
          </w:p>
        </w:tc>
        <w:tc>
          <w:tcPr>
            <w:tcW w:w="810" w:type="dxa"/>
            <w:vAlign w:val="center"/>
          </w:tcPr>
          <w:p w:rsidR="000C53C2" w:rsidRPr="00AA2347" w:rsidRDefault="000C53C2" w:rsidP="00240B72">
            <w:pPr>
              <w:jc w:val="center"/>
              <w:rPr>
                <w:sz w:val="22"/>
                <w:szCs w:val="22"/>
                <w:lang w:val="en-US"/>
              </w:rPr>
            </w:pPr>
            <w:r w:rsidRPr="00AA2347">
              <w:rPr>
                <w:sz w:val="22"/>
                <w:szCs w:val="22"/>
                <w:lang w:val="en-US"/>
              </w:rPr>
              <w:t>1,899</w:t>
            </w:r>
          </w:p>
        </w:tc>
        <w:tc>
          <w:tcPr>
            <w:tcW w:w="1530" w:type="dxa"/>
            <w:vAlign w:val="center"/>
          </w:tcPr>
          <w:p w:rsidR="000C53C2" w:rsidRPr="00AA2347" w:rsidRDefault="000C53C2" w:rsidP="00240B72">
            <w:pPr>
              <w:jc w:val="center"/>
              <w:rPr>
                <w:sz w:val="22"/>
                <w:szCs w:val="22"/>
                <w:lang w:val="en-US"/>
              </w:rPr>
            </w:pPr>
            <w:r w:rsidRPr="00AA2347">
              <w:rPr>
                <w:sz w:val="22"/>
                <w:szCs w:val="22"/>
                <w:lang w:val="en-US"/>
              </w:rPr>
              <w:t>15.8</w:t>
            </w:r>
          </w:p>
        </w:tc>
        <w:tc>
          <w:tcPr>
            <w:tcW w:w="720" w:type="dxa"/>
            <w:vAlign w:val="center"/>
          </w:tcPr>
          <w:p w:rsidR="000C53C2" w:rsidRPr="00AA2347" w:rsidRDefault="000C53C2" w:rsidP="00240B72">
            <w:pPr>
              <w:jc w:val="center"/>
              <w:rPr>
                <w:sz w:val="22"/>
                <w:szCs w:val="22"/>
                <w:lang w:val="en-US"/>
              </w:rPr>
            </w:pPr>
            <w:r w:rsidRPr="00AA2347">
              <w:rPr>
                <w:sz w:val="22"/>
                <w:szCs w:val="22"/>
                <w:lang w:val="en-US"/>
              </w:rPr>
              <w:t>1,141</w:t>
            </w:r>
          </w:p>
        </w:tc>
        <w:tc>
          <w:tcPr>
            <w:tcW w:w="1080" w:type="dxa"/>
            <w:vAlign w:val="center"/>
          </w:tcPr>
          <w:p w:rsidR="000C53C2" w:rsidRPr="00AA2347" w:rsidRDefault="000C53C2" w:rsidP="00240B72">
            <w:pPr>
              <w:jc w:val="center"/>
              <w:rPr>
                <w:sz w:val="22"/>
                <w:szCs w:val="22"/>
                <w:lang w:val="en-US"/>
              </w:rPr>
            </w:pPr>
            <w:r w:rsidRPr="00AA2347">
              <w:rPr>
                <w:sz w:val="22"/>
                <w:szCs w:val="22"/>
                <w:lang w:val="en-US"/>
              </w:rPr>
              <w:t>2.2</w:t>
            </w:r>
          </w:p>
        </w:tc>
        <w:tc>
          <w:tcPr>
            <w:tcW w:w="630" w:type="dxa"/>
            <w:vAlign w:val="center"/>
          </w:tcPr>
          <w:p w:rsidR="000C53C2" w:rsidRPr="00AA2347" w:rsidRDefault="000C53C2" w:rsidP="00240B72">
            <w:pPr>
              <w:jc w:val="center"/>
              <w:rPr>
                <w:sz w:val="22"/>
                <w:szCs w:val="22"/>
                <w:lang w:val="en-US"/>
              </w:rPr>
            </w:pPr>
            <w:r w:rsidRPr="00AA2347">
              <w:rPr>
                <w:sz w:val="22"/>
                <w:szCs w:val="22"/>
                <w:lang w:val="en-US"/>
              </w:rPr>
              <w:t>159</w:t>
            </w:r>
          </w:p>
        </w:tc>
        <w:tc>
          <w:tcPr>
            <w:tcW w:w="990" w:type="dxa"/>
            <w:vAlign w:val="center"/>
          </w:tcPr>
          <w:p w:rsidR="000C53C2" w:rsidRPr="00AA2347" w:rsidRDefault="000C53C2" w:rsidP="00240B72">
            <w:pPr>
              <w:jc w:val="center"/>
              <w:rPr>
                <w:sz w:val="22"/>
                <w:szCs w:val="22"/>
                <w:lang w:val="en-US"/>
              </w:rPr>
            </w:pPr>
            <w:r w:rsidRPr="00AA2347">
              <w:rPr>
                <w:sz w:val="22"/>
                <w:szCs w:val="22"/>
                <w:lang w:val="en-US"/>
              </w:rPr>
              <w:t>7,225</w:t>
            </w:r>
          </w:p>
        </w:tc>
      </w:tr>
      <w:tr w:rsidR="000C53C2" w:rsidRPr="00AA2347" w:rsidTr="00240B72">
        <w:tc>
          <w:tcPr>
            <w:tcW w:w="1998" w:type="dxa"/>
          </w:tcPr>
          <w:p w:rsidR="00240B72" w:rsidRDefault="00240B72" w:rsidP="009B5ED1">
            <w:pPr>
              <w:jc w:val="center"/>
              <w:rPr>
                <w:sz w:val="22"/>
                <w:szCs w:val="22"/>
                <w:lang w:val="en-US"/>
              </w:rPr>
            </w:pPr>
          </w:p>
          <w:p w:rsidR="000C53C2" w:rsidRDefault="000C53C2" w:rsidP="009B5ED1">
            <w:pPr>
              <w:jc w:val="center"/>
              <w:rPr>
                <w:sz w:val="22"/>
                <w:szCs w:val="22"/>
                <w:lang w:val="en-US"/>
              </w:rPr>
            </w:pPr>
            <w:r w:rsidRPr="00AA2347">
              <w:rPr>
                <w:sz w:val="22"/>
                <w:szCs w:val="22"/>
                <w:lang w:val="en-US"/>
              </w:rPr>
              <w:t xml:space="preserve">5  </w:t>
            </w:r>
          </w:p>
          <w:p w:rsidR="00240B72" w:rsidRPr="00AA2347" w:rsidRDefault="00240B72" w:rsidP="009B5ED1">
            <w:pPr>
              <w:jc w:val="center"/>
              <w:rPr>
                <w:sz w:val="22"/>
                <w:szCs w:val="22"/>
                <w:lang w:val="en-US"/>
              </w:rPr>
            </w:pPr>
          </w:p>
        </w:tc>
        <w:tc>
          <w:tcPr>
            <w:tcW w:w="1440" w:type="dxa"/>
            <w:vAlign w:val="center"/>
          </w:tcPr>
          <w:p w:rsidR="000C53C2" w:rsidRPr="00AA2347" w:rsidRDefault="000C53C2" w:rsidP="00240B72">
            <w:pPr>
              <w:jc w:val="center"/>
              <w:rPr>
                <w:sz w:val="22"/>
                <w:szCs w:val="22"/>
                <w:lang w:val="en-US"/>
              </w:rPr>
            </w:pPr>
            <w:r w:rsidRPr="00AA2347">
              <w:rPr>
                <w:sz w:val="22"/>
                <w:szCs w:val="22"/>
                <w:lang w:val="en-US"/>
              </w:rPr>
              <w:t>48.7</w:t>
            </w:r>
          </w:p>
        </w:tc>
        <w:tc>
          <w:tcPr>
            <w:tcW w:w="900" w:type="dxa"/>
            <w:vAlign w:val="center"/>
          </w:tcPr>
          <w:p w:rsidR="000C53C2" w:rsidRPr="00AA2347" w:rsidRDefault="000C53C2" w:rsidP="00240B72">
            <w:pPr>
              <w:jc w:val="center"/>
              <w:rPr>
                <w:sz w:val="22"/>
                <w:szCs w:val="22"/>
                <w:lang w:val="en-US"/>
              </w:rPr>
            </w:pPr>
            <w:r w:rsidRPr="00AA2347">
              <w:rPr>
                <w:sz w:val="22"/>
                <w:szCs w:val="22"/>
                <w:lang w:val="en-US"/>
              </w:rPr>
              <w:t>2,405</w:t>
            </w:r>
          </w:p>
        </w:tc>
        <w:tc>
          <w:tcPr>
            <w:tcW w:w="1260" w:type="dxa"/>
            <w:vAlign w:val="center"/>
          </w:tcPr>
          <w:p w:rsidR="000C53C2" w:rsidRPr="00AA2347" w:rsidRDefault="000C53C2" w:rsidP="00240B72">
            <w:pPr>
              <w:jc w:val="center"/>
              <w:rPr>
                <w:sz w:val="22"/>
                <w:szCs w:val="22"/>
                <w:lang w:val="en-US"/>
              </w:rPr>
            </w:pPr>
            <w:r w:rsidRPr="00AA2347">
              <w:rPr>
                <w:sz w:val="22"/>
                <w:szCs w:val="22"/>
                <w:lang w:val="en-US"/>
              </w:rPr>
              <w:t>32.1</w:t>
            </w:r>
          </w:p>
        </w:tc>
        <w:tc>
          <w:tcPr>
            <w:tcW w:w="810" w:type="dxa"/>
            <w:vAlign w:val="center"/>
          </w:tcPr>
          <w:p w:rsidR="000C53C2" w:rsidRPr="00AA2347" w:rsidRDefault="000C53C2" w:rsidP="00240B72">
            <w:pPr>
              <w:jc w:val="center"/>
              <w:rPr>
                <w:sz w:val="22"/>
                <w:szCs w:val="22"/>
                <w:lang w:val="en-US"/>
              </w:rPr>
            </w:pPr>
            <w:r w:rsidRPr="00AA2347">
              <w:rPr>
                <w:sz w:val="22"/>
                <w:szCs w:val="22"/>
                <w:lang w:val="en-US"/>
              </w:rPr>
              <w:t>1,585</w:t>
            </w:r>
          </w:p>
        </w:tc>
        <w:tc>
          <w:tcPr>
            <w:tcW w:w="1530" w:type="dxa"/>
            <w:vAlign w:val="center"/>
          </w:tcPr>
          <w:p w:rsidR="000C53C2" w:rsidRPr="00AA2347" w:rsidRDefault="000C53C2" w:rsidP="00240B72">
            <w:pPr>
              <w:jc w:val="center"/>
              <w:rPr>
                <w:sz w:val="22"/>
                <w:szCs w:val="22"/>
                <w:lang w:val="en-US"/>
              </w:rPr>
            </w:pPr>
            <w:r w:rsidRPr="00AA2347">
              <w:rPr>
                <w:sz w:val="22"/>
                <w:szCs w:val="22"/>
                <w:lang w:val="en-US"/>
              </w:rPr>
              <w:t>17.4</w:t>
            </w:r>
          </w:p>
        </w:tc>
        <w:tc>
          <w:tcPr>
            <w:tcW w:w="720" w:type="dxa"/>
            <w:vAlign w:val="center"/>
          </w:tcPr>
          <w:p w:rsidR="000C53C2" w:rsidRPr="00AA2347" w:rsidRDefault="000C53C2" w:rsidP="00240B72">
            <w:pPr>
              <w:jc w:val="center"/>
              <w:rPr>
                <w:sz w:val="22"/>
                <w:szCs w:val="22"/>
                <w:lang w:val="en-US"/>
              </w:rPr>
            </w:pPr>
            <w:r w:rsidRPr="00AA2347">
              <w:rPr>
                <w:sz w:val="22"/>
                <w:szCs w:val="22"/>
                <w:lang w:val="en-US"/>
              </w:rPr>
              <w:t>860</w:t>
            </w:r>
          </w:p>
        </w:tc>
        <w:tc>
          <w:tcPr>
            <w:tcW w:w="1080" w:type="dxa"/>
            <w:vAlign w:val="center"/>
          </w:tcPr>
          <w:p w:rsidR="000C53C2" w:rsidRPr="00AA2347" w:rsidRDefault="000C53C2" w:rsidP="00240B72">
            <w:pPr>
              <w:jc w:val="center"/>
              <w:rPr>
                <w:sz w:val="22"/>
                <w:szCs w:val="22"/>
                <w:lang w:val="en-US"/>
              </w:rPr>
            </w:pPr>
            <w:r w:rsidRPr="00AA2347">
              <w:rPr>
                <w:sz w:val="22"/>
                <w:szCs w:val="22"/>
                <w:lang w:val="en-US"/>
              </w:rPr>
              <w:t>1.8</w:t>
            </w:r>
          </w:p>
        </w:tc>
        <w:tc>
          <w:tcPr>
            <w:tcW w:w="630" w:type="dxa"/>
            <w:vAlign w:val="center"/>
          </w:tcPr>
          <w:p w:rsidR="000C53C2" w:rsidRPr="00AA2347" w:rsidRDefault="000C53C2" w:rsidP="00240B72">
            <w:pPr>
              <w:jc w:val="center"/>
              <w:rPr>
                <w:sz w:val="22"/>
                <w:szCs w:val="22"/>
                <w:lang w:val="en-US"/>
              </w:rPr>
            </w:pPr>
            <w:r w:rsidRPr="00AA2347">
              <w:rPr>
                <w:sz w:val="22"/>
                <w:szCs w:val="22"/>
                <w:lang w:val="en-US"/>
              </w:rPr>
              <w:t>90</w:t>
            </w:r>
          </w:p>
        </w:tc>
        <w:tc>
          <w:tcPr>
            <w:tcW w:w="990" w:type="dxa"/>
            <w:vAlign w:val="center"/>
          </w:tcPr>
          <w:p w:rsidR="000C53C2" w:rsidRPr="00AA2347" w:rsidRDefault="000C53C2" w:rsidP="00240B72">
            <w:pPr>
              <w:jc w:val="center"/>
              <w:rPr>
                <w:sz w:val="22"/>
                <w:szCs w:val="22"/>
                <w:lang w:val="en-US"/>
              </w:rPr>
            </w:pPr>
            <w:r w:rsidRPr="00AA2347">
              <w:rPr>
                <w:sz w:val="22"/>
                <w:szCs w:val="22"/>
                <w:lang w:val="en-US"/>
              </w:rPr>
              <w:t>4,940</w:t>
            </w:r>
          </w:p>
        </w:tc>
      </w:tr>
      <w:tr w:rsidR="000C53C2" w:rsidRPr="00AA2347" w:rsidTr="00240B72">
        <w:tc>
          <w:tcPr>
            <w:tcW w:w="1998" w:type="dxa"/>
          </w:tcPr>
          <w:p w:rsidR="00240B72" w:rsidRDefault="00240B72" w:rsidP="009B5ED1">
            <w:pPr>
              <w:jc w:val="center"/>
              <w:rPr>
                <w:sz w:val="22"/>
                <w:szCs w:val="22"/>
                <w:lang w:val="en-US"/>
              </w:rPr>
            </w:pPr>
          </w:p>
          <w:p w:rsidR="00240B72" w:rsidRDefault="000C53C2" w:rsidP="009B5ED1">
            <w:pPr>
              <w:jc w:val="center"/>
              <w:rPr>
                <w:sz w:val="22"/>
                <w:szCs w:val="22"/>
                <w:lang w:val="en-US"/>
              </w:rPr>
            </w:pPr>
            <w:r w:rsidRPr="00AA2347">
              <w:rPr>
                <w:sz w:val="22"/>
                <w:szCs w:val="22"/>
                <w:lang w:val="en-US"/>
              </w:rPr>
              <w:t>10</w:t>
            </w:r>
          </w:p>
          <w:p w:rsidR="000C53C2" w:rsidRPr="00AA2347" w:rsidRDefault="000C53C2" w:rsidP="009B5ED1">
            <w:pPr>
              <w:jc w:val="center"/>
              <w:rPr>
                <w:sz w:val="22"/>
                <w:szCs w:val="22"/>
                <w:lang w:val="en-US"/>
              </w:rPr>
            </w:pPr>
            <w:r w:rsidRPr="00AA2347">
              <w:rPr>
                <w:sz w:val="22"/>
                <w:szCs w:val="22"/>
                <w:lang w:val="en-US"/>
              </w:rPr>
              <w:t xml:space="preserve"> </w:t>
            </w:r>
          </w:p>
        </w:tc>
        <w:tc>
          <w:tcPr>
            <w:tcW w:w="1440" w:type="dxa"/>
            <w:vAlign w:val="center"/>
          </w:tcPr>
          <w:p w:rsidR="000C53C2" w:rsidRPr="00AA2347" w:rsidRDefault="000C53C2" w:rsidP="00240B72">
            <w:pPr>
              <w:jc w:val="center"/>
              <w:rPr>
                <w:sz w:val="22"/>
                <w:szCs w:val="22"/>
                <w:lang w:val="en-US"/>
              </w:rPr>
            </w:pPr>
            <w:r w:rsidRPr="00AA2347">
              <w:rPr>
                <w:sz w:val="22"/>
                <w:szCs w:val="22"/>
                <w:lang w:val="en-US"/>
              </w:rPr>
              <w:t>39.2</w:t>
            </w:r>
          </w:p>
        </w:tc>
        <w:tc>
          <w:tcPr>
            <w:tcW w:w="900" w:type="dxa"/>
            <w:vAlign w:val="center"/>
          </w:tcPr>
          <w:p w:rsidR="000C53C2" w:rsidRPr="00AA2347" w:rsidRDefault="000C53C2" w:rsidP="00240B72">
            <w:pPr>
              <w:jc w:val="center"/>
              <w:rPr>
                <w:sz w:val="22"/>
                <w:szCs w:val="22"/>
                <w:lang w:val="en-US"/>
              </w:rPr>
            </w:pPr>
            <w:r w:rsidRPr="00AA2347">
              <w:rPr>
                <w:sz w:val="22"/>
                <w:szCs w:val="22"/>
                <w:lang w:val="en-US"/>
              </w:rPr>
              <w:t>750</w:t>
            </w:r>
          </w:p>
        </w:tc>
        <w:tc>
          <w:tcPr>
            <w:tcW w:w="1260" w:type="dxa"/>
            <w:vAlign w:val="center"/>
          </w:tcPr>
          <w:p w:rsidR="000C53C2" w:rsidRPr="00AA2347" w:rsidRDefault="000C53C2" w:rsidP="00240B72">
            <w:pPr>
              <w:jc w:val="center"/>
              <w:rPr>
                <w:sz w:val="22"/>
                <w:szCs w:val="22"/>
                <w:lang w:val="en-US"/>
              </w:rPr>
            </w:pPr>
            <w:r w:rsidRPr="00AA2347">
              <w:rPr>
                <w:sz w:val="22"/>
                <w:szCs w:val="22"/>
                <w:lang w:val="en-US"/>
              </w:rPr>
              <w:t>38.7</w:t>
            </w:r>
          </w:p>
        </w:tc>
        <w:tc>
          <w:tcPr>
            <w:tcW w:w="810" w:type="dxa"/>
            <w:vAlign w:val="center"/>
          </w:tcPr>
          <w:p w:rsidR="000C53C2" w:rsidRPr="00AA2347" w:rsidRDefault="000C53C2" w:rsidP="00240B72">
            <w:pPr>
              <w:jc w:val="center"/>
              <w:rPr>
                <w:sz w:val="22"/>
                <w:szCs w:val="22"/>
                <w:lang w:val="en-US"/>
              </w:rPr>
            </w:pPr>
            <w:r w:rsidRPr="00AA2347">
              <w:rPr>
                <w:sz w:val="22"/>
                <w:szCs w:val="22"/>
                <w:lang w:val="en-US"/>
              </w:rPr>
              <w:t>739</w:t>
            </w:r>
          </w:p>
        </w:tc>
        <w:tc>
          <w:tcPr>
            <w:tcW w:w="1530" w:type="dxa"/>
            <w:vAlign w:val="center"/>
          </w:tcPr>
          <w:p w:rsidR="000C53C2" w:rsidRPr="00AA2347" w:rsidRDefault="000C53C2" w:rsidP="00240B72">
            <w:pPr>
              <w:jc w:val="center"/>
              <w:rPr>
                <w:sz w:val="22"/>
                <w:szCs w:val="22"/>
                <w:lang w:val="en-US"/>
              </w:rPr>
            </w:pPr>
            <w:r w:rsidRPr="00AA2347">
              <w:rPr>
                <w:sz w:val="22"/>
                <w:szCs w:val="22"/>
                <w:lang w:val="en-US"/>
              </w:rPr>
              <w:t>19.3</w:t>
            </w:r>
          </w:p>
        </w:tc>
        <w:tc>
          <w:tcPr>
            <w:tcW w:w="720" w:type="dxa"/>
            <w:vAlign w:val="center"/>
          </w:tcPr>
          <w:p w:rsidR="000C53C2" w:rsidRPr="00AA2347" w:rsidRDefault="000C53C2" w:rsidP="00240B72">
            <w:pPr>
              <w:jc w:val="center"/>
              <w:rPr>
                <w:sz w:val="22"/>
                <w:szCs w:val="22"/>
                <w:lang w:val="en-US"/>
              </w:rPr>
            </w:pPr>
            <w:r w:rsidRPr="00AA2347">
              <w:rPr>
                <w:sz w:val="22"/>
                <w:szCs w:val="22"/>
                <w:lang w:val="en-US"/>
              </w:rPr>
              <w:t>369</w:t>
            </w:r>
          </w:p>
        </w:tc>
        <w:tc>
          <w:tcPr>
            <w:tcW w:w="1080" w:type="dxa"/>
            <w:vAlign w:val="center"/>
          </w:tcPr>
          <w:p w:rsidR="000C53C2" w:rsidRPr="00AA2347" w:rsidRDefault="000C53C2" w:rsidP="00240B72">
            <w:pPr>
              <w:jc w:val="center"/>
              <w:rPr>
                <w:sz w:val="22"/>
                <w:szCs w:val="22"/>
                <w:lang w:val="en-US"/>
              </w:rPr>
            </w:pPr>
            <w:r w:rsidRPr="00AA2347">
              <w:rPr>
                <w:sz w:val="22"/>
                <w:szCs w:val="22"/>
                <w:lang w:val="en-US"/>
              </w:rPr>
              <w:t>2.8</w:t>
            </w:r>
          </w:p>
        </w:tc>
        <w:tc>
          <w:tcPr>
            <w:tcW w:w="630" w:type="dxa"/>
            <w:vAlign w:val="center"/>
          </w:tcPr>
          <w:p w:rsidR="000C53C2" w:rsidRPr="00AA2347" w:rsidRDefault="000C53C2" w:rsidP="00240B72">
            <w:pPr>
              <w:jc w:val="center"/>
              <w:rPr>
                <w:sz w:val="22"/>
                <w:szCs w:val="22"/>
                <w:lang w:val="en-US"/>
              </w:rPr>
            </w:pPr>
            <w:r w:rsidRPr="00AA2347">
              <w:rPr>
                <w:sz w:val="22"/>
                <w:szCs w:val="22"/>
                <w:lang w:val="en-US"/>
              </w:rPr>
              <w:t>54</w:t>
            </w:r>
          </w:p>
        </w:tc>
        <w:tc>
          <w:tcPr>
            <w:tcW w:w="990" w:type="dxa"/>
            <w:vAlign w:val="center"/>
          </w:tcPr>
          <w:p w:rsidR="000C53C2" w:rsidRPr="00AA2347" w:rsidRDefault="000C53C2" w:rsidP="00240B72">
            <w:pPr>
              <w:jc w:val="center"/>
              <w:rPr>
                <w:sz w:val="22"/>
                <w:szCs w:val="22"/>
                <w:lang w:val="en-US"/>
              </w:rPr>
            </w:pPr>
            <w:r w:rsidRPr="00AA2347">
              <w:rPr>
                <w:sz w:val="22"/>
                <w:szCs w:val="22"/>
                <w:lang w:val="en-US"/>
              </w:rPr>
              <w:t>1,912</w:t>
            </w:r>
          </w:p>
        </w:tc>
      </w:tr>
      <w:tr w:rsidR="000C53C2" w:rsidRPr="00AA2347" w:rsidTr="00240B72">
        <w:tc>
          <w:tcPr>
            <w:tcW w:w="1998" w:type="dxa"/>
          </w:tcPr>
          <w:p w:rsidR="00240B72" w:rsidRDefault="00240B72" w:rsidP="009B5ED1">
            <w:pPr>
              <w:jc w:val="center"/>
              <w:rPr>
                <w:sz w:val="22"/>
                <w:szCs w:val="22"/>
                <w:lang w:val="en-US"/>
              </w:rPr>
            </w:pPr>
          </w:p>
          <w:p w:rsidR="000C53C2" w:rsidRDefault="000C53C2" w:rsidP="009B5ED1">
            <w:pPr>
              <w:jc w:val="center"/>
              <w:rPr>
                <w:sz w:val="22"/>
                <w:szCs w:val="22"/>
                <w:lang w:val="en-US"/>
              </w:rPr>
            </w:pPr>
            <w:r w:rsidRPr="00AA2347">
              <w:rPr>
                <w:sz w:val="22"/>
                <w:szCs w:val="22"/>
                <w:lang w:val="en-US"/>
              </w:rPr>
              <w:t xml:space="preserve">15 </w:t>
            </w:r>
          </w:p>
          <w:p w:rsidR="00240B72" w:rsidRPr="00AA2347" w:rsidRDefault="00240B72" w:rsidP="009B5ED1">
            <w:pPr>
              <w:jc w:val="center"/>
              <w:rPr>
                <w:sz w:val="22"/>
                <w:szCs w:val="22"/>
                <w:lang w:val="en-US"/>
              </w:rPr>
            </w:pPr>
          </w:p>
        </w:tc>
        <w:tc>
          <w:tcPr>
            <w:tcW w:w="1440" w:type="dxa"/>
            <w:vAlign w:val="center"/>
          </w:tcPr>
          <w:p w:rsidR="000C53C2" w:rsidRPr="00AA2347" w:rsidRDefault="000C53C2" w:rsidP="00240B72">
            <w:pPr>
              <w:jc w:val="center"/>
              <w:rPr>
                <w:sz w:val="22"/>
                <w:szCs w:val="22"/>
                <w:lang w:val="en-US"/>
              </w:rPr>
            </w:pPr>
            <w:r w:rsidRPr="00AA2347">
              <w:rPr>
                <w:sz w:val="22"/>
                <w:szCs w:val="22"/>
                <w:lang w:val="en-US"/>
              </w:rPr>
              <w:t>5.9</w:t>
            </w:r>
          </w:p>
        </w:tc>
        <w:tc>
          <w:tcPr>
            <w:tcW w:w="900" w:type="dxa"/>
            <w:vAlign w:val="center"/>
          </w:tcPr>
          <w:p w:rsidR="000C53C2" w:rsidRPr="00AA2347" w:rsidRDefault="000C53C2" w:rsidP="00240B72">
            <w:pPr>
              <w:jc w:val="center"/>
              <w:rPr>
                <w:sz w:val="22"/>
                <w:szCs w:val="22"/>
                <w:lang w:val="en-US"/>
              </w:rPr>
            </w:pPr>
            <w:r w:rsidRPr="00AA2347">
              <w:rPr>
                <w:sz w:val="22"/>
                <w:szCs w:val="22"/>
                <w:lang w:val="en-US"/>
              </w:rPr>
              <w:t>44</w:t>
            </w:r>
          </w:p>
        </w:tc>
        <w:tc>
          <w:tcPr>
            <w:tcW w:w="1260" w:type="dxa"/>
            <w:vAlign w:val="center"/>
          </w:tcPr>
          <w:p w:rsidR="000C53C2" w:rsidRPr="00AA2347" w:rsidRDefault="000C53C2" w:rsidP="00240B72">
            <w:pPr>
              <w:jc w:val="center"/>
              <w:rPr>
                <w:sz w:val="22"/>
                <w:szCs w:val="22"/>
                <w:lang w:val="en-US"/>
              </w:rPr>
            </w:pPr>
            <w:r w:rsidRPr="00AA2347">
              <w:rPr>
                <w:sz w:val="22"/>
                <w:szCs w:val="22"/>
                <w:lang w:val="en-US"/>
              </w:rPr>
              <w:t>64.6</w:t>
            </w:r>
          </w:p>
        </w:tc>
        <w:tc>
          <w:tcPr>
            <w:tcW w:w="810" w:type="dxa"/>
            <w:vAlign w:val="center"/>
          </w:tcPr>
          <w:p w:rsidR="000C53C2" w:rsidRPr="00AA2347" w:rsidRDefault="000C53C2" w:rsidP="00240B72">
            <w:pPr>
              <w:jc w:val="center"/>
              <w:rPr>
                <w:sz w:val="22"/>
                <w:szCs w:val="22"/>
                <w:lang w:val="en-US"/>
              </w:rPr>
            </w:pPr>
            <w:r w:rsidRPr="00AA2347">
              <w:rPr>
                <w:sz w:val="22"/>
                <w:szCs w:val="22"/>
                <w:lang w:val="en-US"/>
              </w:rPr>
              <w:t>478</w:t>
            </w:r>
          </w:p>
        </w:tc>
        <w:tc>
          <w:tcPr>
            <w:tcW w:w="1530" w:type="dxa"/>
            <w:vAlign w:val="center"/>
          </w:tcPr>
          <w:p w:rsidR="000C53C2" w:rsidRPr="00AA2347" w:rsidRDefault="000C53C2" w:rsidP="00240B72">
            <w:pPr>
              <w:jc w:val="center"/>
              <w:rPr>
                <w:sz w:val="22"/>
                <w:szCs w:val="22"/>
                <w:lang w:val="en-US"/>
              </w:rPr>
            </w:pPr>
            <w:r w:rsidRPr="00AA2347">
              <w:rPr>
                <w:sz w:val="22"/>
                <w:szCs w:val="22"/>
                <w:lang w:val="en-US"/>
              </w:rPr>
              <w:t>25.4</w:t>
            </w:r>
          </w:p>
        </w:tc>
        <w:tc>
          <w:tcPr>
            <w:tcW w:w="720" w:type="dxa"/>
            <w:vAlign w:val="center"/>
          </w:tcPr>
          <w:p w:rsidR="000C53C2" w:rsidRPr="00AA2347" w:rsidRDefault="000C53C2" w:rsidP="00240B72">
            <w:pPr>
              <w:jc w:val="center"/>
              <w:rPr>
                <w:sz w:val="22"/>
                <w:szCs w:val="22"/>
                <w:lang w:val="en-US"/>
              </w:rPr>
            </w:pPr>
            <w:r w:rsidRPr="00AA2347">
              <w:rPr>
                <w:sz w:val="22"/>
                <w:szCs w:val="22"/>
                <w:lang w:val="en-US"/>
              </w:rPr>
              <w:t>188</w:t>
            </w:r>
          </w:p>
        </w:tc>
        <w:tc>
          <w:tcPr>
            <w:tcW w:w="1080" w:type="dxa"/>
            <w:vAlign w:val="center"/>
          </w:tcPr>
          <w:p w:rsidR="000C53C2" w:rsidRPr="00AA2347" w:rsidRDefault="000C53C2" w:rsidP="00240B72">
            <w:pPr>
              <w:jc w:val="center"/>
              <w:rPr>
                <w:sz w:val="22"/>
                <w:szCs w:val="22"/>
                <w:lang w:val="en-US"/>
              </w:rPr>
            </w:pPr>
            <w:r w:rsidRPr="00AA2347">
              <w:rPr>
                <w:sz w:val="22"/>
                <w:szCs w:val="22"/>
                <w:lang w:val="en-US"/>
              </w:rPr>
              <w:t>4.1</w:t>
            </w:r>
          </w:p>
        </w:tc>
        <w:tc>
          <w:tcPr>
            <w:tcW w:w="630" w:type="dxa"/>
            <w:vAlign w:val="center"/>
          </w:tcPr>
          <w:p w:rsidR="000C53C2" w:rsidRPr="00AA2347" w:rsidRDefault="000C53C2" w:rsidP="00240B72">
            <w:pPr>
              <w:jc w:val="center"/>
              <w:rPr>
                <w:sz w:val="22"/>
                <w:szCs w:val="22"/>
                <w:lang w:val="en-US"/>
              </w:rPr>
            </w:pPr>
            <w:r w:rsidRPr="00AA2347">
              <w:rPr>
                <w:sz w:val="22"/>
                <w:szCs w:val="22"/>
                <w:lang w:val="en-US"/>
              </w:rPr>
              <w:t>30</w:t>
            </w:r>
          </w:p>
        </w:tc>
        <w:tc>
          <w:tcPr>
            <w:tcW w:w="990" w:type="dxa"/>
            <w:vAlign w:val="center"/>
          </w:tcPr>
          <w:p w:rsidR="000C53C2" w:rsidRPr="00AA2347" w:rsidRDefault="000C53C2" w:rsidP="00240B72">
            <w:pPr>
              <w:jc w:val="center"/>
              <w:rPr>
                <w:sz w:val="22"/>
                <w:szCs w:val="22"/>
                <w:lang w:val="en-US"/>
              </w:rPr>
            </w:pPr>
            <w:r w:rsidRPr="00AA2347">
              <w:rPr>
                <w:sz w:val="22"/>
                <w:szCs w:val="22"/>
                <w:lang w:val="en-US"/>
              </w:rPr>
              <w:t>740</w:t>
            </w:r>
          </w:p>
        </w:tc>
      </w:tr>
      <w:tr w:rsidR="000C53C2" w:rsidRPr="00AA2347" w:rsidTr="00240B72">
        <w:tc>
          <w:tcPr>
            <w:tcW w:w="1998" w:type="dxa"/>
          </w:tcPr>
          <w:p w:rsidR="00240B72" w:rsidRDefault="00240B72" w:rsidP="009B5ED1">
            <w:pPr>
              <w:jc w:val="center"/>
              <w:rPr>
                <w:sz w:val="22"/>
                <w:szCs w:val="22"/>
                <w:lang w:val="en-US"/>
              </w:rPr>
            </w:pPr>
          </w:p>
          <w:p w:rsidR="000C53C2" w:rsidRDefault="000C53C2" w:rsidP="009B5ED1">
            <w:pPr>
              <w:jc w:val="center"/>
              <w:rPr>
                <w:sz w:val="22"/>
                <w:szCs w:val="22"/>
                <w:lang w:val="en-US"/>
              </w:rPr>
            </w:pPr>
            <w:r w:rsidRPr="00AA2347">
              <w:rPr>
                <w:sz w:val="22"/>
                <w:szCs w:val="22"/>
                <w:lang w:val="en-US"/>
              </w:rPr>
              <w:t xml:space="preserve">20 </w:t>
            </w:r>
          </w:p>
          <w:p w:rsidR="00240B72" w:rsidRPr="00AA2347" w:rsidRDefault="00240B72" w:rsidP="009B5ED1">
            <w:pPr>
              <w:jc w:val="center"/>
              <w:rPr>
                <w:sz w:val="22"/>
                <w:szCs w:val="22"/>
                <w:lang w:val="en-US"/>
              </w:rPr>
            </w:pPr>
          </w:p>
        </w:tc>
        <w:tc>
          <w:tcPr>
            <w:tcW w:w="1440" w:type="dxa"/>
            <w:vAlign w:val="center"/>
          </w:tcPr>
          <w:p w:rsidR="000C53C2" w:rsidRPr="00AA2347" w:rsidRDefault="000C53C2" w:rsidP="00240B72">
            <w:pPr>
              <w:jc w:val="center"/>
              <w:rPr>
                <w:sz w:val="22"/>
                <w:szCs w:val="22"/>
                <w:lang w:val="en-US"/>
              </w:rPr>
            </w:pPr>
            <w:r w:rsidRPr="00AA2347">
              <w:rPr>
                <w:sz w:val="22"/>
                <w:szCs w:val="22"/>
                <w:lang w:val="en-US"/>
              </w:rPr>
              <w:t>1.0</w:t>
            </w:r>
          </w:p>
        </w:tc>
        <w:tc>
          <w:tcPr>
            <w:tcW w:w="900" w:type="dxa"/>
            <w:vAlign w:val="center"/>
          </w:tcPr>
          <w:p w:rsidR="000C53C2" w:rsidRPr="00AA2347" w:rsidRDefault="000C53C2" w:rsidP="00240B72">
            <w:pPr>
              <w:jc w:val="center"/>
              <w:rPr>
                <w:sz w:val="22"/>
                <w:szCs w:val="22"/>
                <w:lang w:val="en-US"/>
              </w:rPr>
            </w:pPr>
            <w:r w:rsidRPr="00AA2347">
              <w:rPr>
                <w:sz w:val="22"/>
                <w:szCs w:val="22"/>
                <w:lang w:val="en-US"/>
              </w:rPr>
              <w:t>4</w:t>
            </w:r>
          </w:p>
        </w:tc>
        <w:tc>
          <w:tcPr>
            <w:tcW w:w="1260" w:type="dxa"/>
            <w:vAlign w:val="center"/>
          </w:tcPr>
          <w:p w:rsidR="000C53C2" w:rsidRPr="00AA2347" w:rsidRDefault="000C53C2" w:rsidP="00240B72">
            <w:pPr>
              <w:jc w:val="center"/>
              <w:rPr>
                <w:sz w:val="22"/>
                <w:szCs w:val="22"/>
                <w:lang w:val="en-US"/>
              </w:rPr>
            </w:pPr>
            <w:r w:rsidRPr="00AA2347">
              <w:rPr>
                <w:sz w:val="22"/>
                <w:szCs w:val="22"/>
                <w:lang w:val="en-US"/>
              </w:rPr>
              <w:t>78.7</w:t>
            </w:r>
          </w:p>
        </w:tc>
        <w:tc>
          <w:tcPr>
            <w:tcW w:w="810" w:type="dxa"/>
            <w:vAlign w:val="center"/>
          </w:tcPr>
          <w:p w:rsidR="000C53C2" w:rsidRPr="00AA2347" w:rsidRDefault="000C53C2" w:rsidP="00240B72">
            <w:pPr>
              <w:jc w:val="center"/>
              <w:rPr>
                <w:sz w:val="22"/>
                <w:szCs w:val="22"/>
                <w:lang w:val="en-US"/>
              </w:rPr>
            </w:pPr>
            <w:r w:rsidRPr="00AA2347">
              <w:rPr>
                <w:sz w:val="22"/>
                <w:szCs w:val="22"/>
                <w:lang w:val="en-US"/>
              </w:rPr>
              <w:t>310</w:t>
            </w:r>
          </w:p>
        </w:tc>
        <w:tc>
          <w:tcPr>
            <w:tcW w:w="1530" w:type="dxa"/>
            <w:vAlign w:val="center"/>
          </w:tcPr>
          <w:p w:rsidR="000C53C2" w:rsidRPr="00AA2347" w:rsidRDefault="000C53C2" w:rsidP="00240B72">
            <w:pPr>
              <w:jc w:val="center"/>
              <w:rPr>
                <w:sz w:val="22"/>
                <w:szCs w:val="22"/>
                <w:lang w:val="en-US"/>
              </w:rPr>
            </w:pPr>
            <w:r w:rsidRPr="00AA2347">
              <w:rPr>
                <w:sz w:val="22"/>
                <w:szCs w:val="22"/>
                <w:lang w:val="en-US"/>
              </w:rPr>
              <w:t>17.1</w:t>
            </w:r>
          </w:p>
        </w:tc>
        <w:tc>
          <w:tcPr>
            <w:tcW w:w="720" w:type="dxa"/>
            <w:vAlign w:val="center"/>
          </w:tcPr>
          <w:p w:rsidR="000C53C2" w:rsidRPr="00AA2347" w:rsidRDefault="000C53C2" w:rsidP="00240B72">
            <w:pPr>
              <w:jc w:val="center"/>
              <w:rPr>
                <w:sz w:val="22"/>
                <w:szCs w:val="22"/>
                <w:lang w:val="en-US"/>
              </w:rPr>
            </w:pPr>
            <w:r w:rsidRPr="00AA2347">
              <w:rPr>
                <w:sz w:val="22"/>
                <w:szCs w:val="22"/>
                <w:lang w:val="en-US"/>
              </w:rPr>
              <w:t>67</w:t>
            </w:r>
          </w:p>
        </w:tc>
        <w:tc>
          <w:tcPr>
            <w:tcW w:w="1080" w:type="dxa"/>
            <w:vAlign w:val="center"/>
          </w:tcPr>
          <w:p w:rsidR="000C53C2" w:rsidRPr="00AA2347" w:rsidRDefault="000C53C2" w:rsidP="00240B72">
            <w:pPr>
              <w:jc w:val="center"/>
              <w:rPr>
                <w:sz w:val="22"/>
                <w:szCs w:val="22"/>
                <w:lang w:val="en-US"/>
              </w:rPr>
            </w:pPr>
            <w:r w:rsidRPr="00AA2347">
              <w:rPr>
                <w:sz w:val="22"/>
                <w:szCs w:val="22"/>
                <w:lang w:val="en-US"/>
              </w:rPr>
              <w:t>3.3</w:t>
            </w:r>
          </w:p>
        </w:tc>
        <w:tc>
          <w:tcPr>
            <w:tcW w:w="630" w:type="dxa"/>
            <w:vAlign w:val="center"/>
          </w:tcPr>
          <w:p w:rsidR="000C53C2" w:rsidRPr="00AA2347" w:rsidRDefault="000C53C2" w:rsidP="00240B72">
            <w:pPr>
              <w:jc w:val="center"/>
              <w:rPr>
                <w:sz w:val="22"/>
                <w:szCs w:val="22"/>
                <w:lang w:val="en-US"/>
              </w:rPr>
            </w:pPr>
            <w:r w:rsidRPr="00AA2347">
              <w:rPr>
                <w:sz w:val="22"/>
                <w:szCs w:val="22"/>
                <w:lang w:val="en-US"/>
              </w:rPr>
              <w:t>13</w:t>
            </w:r>
          </w:p>
        </w:tc>
        <w:tc>
          <w:tcPr>
            <w:tcW w:w="990" w:type="dxa"/>
            <w:vAlign w:val="center"/>
          </w:tcPr>
          <w:p w:rsidR="000C53C2" w:rsidRPr="00AA2347" w:rsidRDefault="000C53C2" w:rsidP="00240B72">
            <w:pPr>
              <w:jc w:val="center"/>
              <w:rPr>
                <w:sz w:val="22"/>
                <w:szCs w:val="22"/>
                <w:lang w:val="en-US"/>
              </w:rPr>
            </w:pPr>
            <w:r w:rsidRPr="00AA2347">
              <w:rPr>
                <w:sz w:val="22"/>
                <w:szCs w:val="22"/>
                <w:lang w:val="en-US"/>
              </w:rPr>
              <w:t>394</w:t>
            </w:r>
          </w:p>
        </w:tc>
      </w:tr>
      <w:tr w:rsidR="000C53C2" w:rsidRPr="00AA2347" w:rsidTr="00240B72">
        <w:tc>
          <w:tcPr>
            <w:tcW w:w="1998" w:type="dxa"/>
            <w:tcBorders>
              <w:bottom w:val="single" w:sz="4" w:space="0" w:color="auto"/>
            </w:tcBorders>
          </w:tcPr>
          <w:p w:rsidR="00240B72" w:rsidRDefault="00240B72" w:rsidP="009B5ED1">
            <w:pPr>
              <w:jc w:val="center"/>
              <w:rPr>
                <w:sz w:val="22"/>
                <w:szCs w:val="22"/>
                <w:lang w:val="en-US"/>
              </w:rPr>
            </w:pPr>
          </w:p>
          <w:p w:rsidR="000C53C2" w:rsidRDefault="000C53C2" w:rsidP="009B5ED1">
            <w:pPr>
              <w:jc w:val="center"/>
              <w:rPr>
                <w:sz w:val="22"/>
                <w:szCs w:val="22"/>
                <w:lang w:val="en-US"/>
              </w:rPr>
            </w:pPr>
            <w:r w:rsidRPr="00AA2347">
              <w:rPr>
                <w:sz w:val="22"/>
                <w:szCs w:val="22"/>
                <w:lang w:val="en-US"/>
              </w:rPr>
              <w:t xml:space="preserve">25 </w:t>
            </w:r>
          </w:p>
          <w:p w:rsidR="00240B72" w:rsidRPr="00AA2347" w:rsidRDefault="00240B72" w:rsidP="009B5ED1">
            <w:pPr>
              <w:jc w:val="center"/>
              <w:rPr>
                <w:sz w:val="22"/>
                <w:szCs w:val="22"/>
                <w:lang w:val="en-US"/>
              </w:rPr>
            </w:pPr>
          </w:p>
        </w:tc>
        <w:tc>
          <w:tcPr>
            <w:tcW w:w="1440" w:type="dxa"/>
            <w:tcBorders>
              <w:bottom w:val="single" w:sz="4" w:space="0" w:color="auto"/>
            </w:tcBorders>
            <w:vAlign w:val="center"/>
          </w:tcPr>
          <w:p w:rsidR="000C53C2" w:rsidRPr="00AA2347" w:rsidRDefault="000C53C2" w:rsidP="00240B72">
            <w:pPr>
              <w:jc w:val="center"/>
              <w:rPr>
                <w:sz w:val="22"/>
                <w:szCs w:val="22"/>
                <w:lang w:val="en-US"/>
              </w:rPr>
            </w:pPr>
            <w:r w:rsidRPr="00AA2347">
              <w:rPr>
                <w:sz w:val="22"/>
                <w:szCs w:val="22"/>
                <w:lang w:val="en-US"/>
              </w:rPr>
              <w:t>1.3</w:t>
            </w:r>
          </w:p>
        </w:tc>
        <w:tc>
          <w:tcPr>
            <w:tcW w:w="900" w:type="dxa"/>
            <w:tcBorders>
              <w:bottom w:val="single" w:sz="4" w:space="0" w:color="auto"/>
            </w:tcBorders>
            <w:vAlign w:val="center"/>
          </w:tcPr>
          <w:p w:rsidR="000C53C2" w:rsidRPr="00AA2347" w:rsidRDefault="000C53C2" w:rsidP="00240B72">
            <w:pPr>
              <w:jc w:val="center"/>
              <w:rPr>
                <w:sz w:val="22"/>
                <w:szCs w:val="22"/>
                <w:lang w:val="en-US"/>
              </w:rPr>
            </w:pPr>
            <w:r w:rsidRPr="00AA2347">
              <w:rPr>
                <w:sz w:val="22"/>
                <w:szCs w:val="22"/>
                <w:lang w:val="en-US"/>
              </w:rPr>
              <w:t>1</w:t>
            </w:r>
          </w:p>
        </w:tc>
        <w:tc>
          <w:tcPr>
            <w:tcW w:w="1260" w:type="dxa"/>
            <w:tcBorders>
              <w:bottom w:val="single" w:sz="4" w:space="0" w:color="auto"/>
            </w:tcBorders>
            <w:vAlign w:val="center"/>
          </w:tcPr>
          <w:p w:rsidR="000C53C2" w:rsidRPr="00AA2347" w:rsidRDefault="000C53C2" w:rsidP="00240B72">
            <w:pPr>
              <w:jc w:val="center"/>
              <w:rPr>
                <w:sz w:val="22"/>
                <w:szCs w:val="22"/>
                <w:lang w:val="en-US"/>
              </w:rPr>
            </w:pPr>
            <w:r w:rsidRPr="00AA2347">
              <w:rPr>
                <w:sz w:val="22"/>
                <w:szCs w:val="22"/>
                <w:lang w:val="en-US"/>
              </w:rPr>
              <w:t>94.9</w:t>
            </w:r>
          </w:p>
        </w:tc>
        <w:tc>
          <w:tcPr>
            <w:tcW w:w="810" w:type="dxa"/>
            <w:tcBorders>
              <w:bottom w:val="single" w:sz="4" w:space="0" w:color="auto"/>
            </w:tcBorders>
            <w:vAlign w:val="center"/>
          </w:tcPr>
          <w:p w:rsidR="000C53C2" w:rsidRPr="00AA2347" w:rsidRDefault="000C53C2" w:rsidP="00240B72">
            <w:pPr>
              <w:jc w:val="center"/>
              <w:rPr>
                <w:sz w:val="22"/>
                <w:szCs w:val="22"/>
                <w:lang w:val="en-US"/>
              </w:rPr>
            </w:pPr>
            <w:r w:rsidRPr="00AA2347">
              <w:rPr>
                <w:sz w:val="22"/>
                <w:szCs w:val="22"/>
                <w:lang w:val="en-US"/>
              </w:rPr>
              <w:t>75</w:t>
            </w:r>
          </w:p>
        </w:tc>
        <w:tc>
          <w:tcPr>
            <w:tcW w:w="1530" w:type="dxa"/>
            <w:tcBorders>
              <w:bottom w:val="single" w:sz="4" w:space="0" w:color="auto"/>
            </w:tcBorders>
            <w:vAlign w:val="center"/>
          </w:tcPr>
          <w:p w:rsidR="000C53C2" w:rsidRPr="00AA2347" w:rsidRDefault="000C53C2" w:rsidP="00240B72">
            <w:pPr>
              <w:jc w:val="center"/>
              <w:rPr>
                <w:sz w:val="22"/>
                <w:szCs w:val="22"/>
                <w:lang w:val="en-US"/>
              </w:rPr>
            </w:pPr>
            <w:r w:rsidRPr="00AA2347">
              <w:rPr>
                <w:sz w:val="22"/>
                <w:szCs w:val="22"/>
                <w:lang w:val="en-US"/>
              </w:rPr>
              <w:t>0</w:t>
            </w:r>
          </w:p>
        </w:tc>
        <w:tc>
          <w:tcPr>
            <w:tcW w:w="720" w:type="dxa"/>
            <w:tcBorders>
              <w:bottom w:val="single" w:sz="4" w:space="0" w:color="auto"/>
            </w:tcBorders>
            <w:vAlign w:val="center"/>
          </w:tcPr>
          <w:p w:rsidR="000C53C2" w:rsidRPr="00AA2347" w:rsidRDefault="000C53C2" w:rsidP="00240B72">
            <w:pPr>
              <w:jc w:val="center"/>
              <w:rPr>
                <w:sz w:val="22"/>
                <w:szCs w:val="22"/>
                <w:lang w:val="en-US"/>
              </w:rPr>
            </w:pPr>
            <w:r w:rsidRPr="00AA2347">
              <w:rPr>
                <w:sz w:val="22"/>
                <w:szCs w:val="22"/>
                <w:lang w:val="en-US"/>
              </w:rPr>
              <w:t>0</w:t>
            </w:r>
          </w:p>
        </w:tc>
        <w:tc>
          <w:tcPr>
            <w:tcW w:w="1080" w:type="dxa"/>
            <w:tcBorders>
              <w:bottom w:val="single" w:sz="4" w:space="0" w:color="auto"/>
            </w:tcBorders>
            <w:vAlign w:val="center"/>
          </w:tcPr>
          <w:p w:rsidR="000C53C2" w:rsidRPr="00AA2347" w:rsidRDefault="000C53C2" w:rsidP="00240B72">
            <w:pPr>
              <w:jc w:val="center"/>
              <w:rPr>
                <w:sz w:val="22"/>
                <w:szCs w:val="22"/>
                <w:lang w:val="en-US"/>
              </w:rPr>
            </w:pPr>
            <w:r w:rsidRPr="00AA2347">
              <w:rPr>
                <w:sz w:val="22"/>
                <w:szCs w:val="22"/>
                <w:lang w:val="en-US"/>
              </w:rPr>
              <w:t>3.8</w:t>
            </w:r>
          </w:p>
        </w:tc>
        <w:tc>
          <w:tcPr>
            <w:tcW w:w="630" w:type="dxa"/>
            <w:tcBorders>
              <w:bottom w:val="single" w:sz="4" w:space="0" w:color="auto"/>
            </w:tcBorders>
            <w:vAlign w:val="center"/>
          </w:tcPr>
          <w:p w:rsidR="000C53C2" w:rsidRPr="00AA2347" w:rsidRDefault="000C53C2" w:rsidP="00240B72">
            <w:pPr>
              <w:jc w:val="center"/>
              <w:rPr>
                <w:sz w:val="22"/>
                <w:szCs w:val="22"/>
                <w:lang w:val="en-US"/>
              </w:rPr>
            </w:pPr>
            <w:r w:rsidRPr="00AA2347">
              <w:rPr>
                <w:sz w:val="22"/>
                <w:szCs w:val="22"/>
                <w:lang w:val="en-US"/>
              </w:rPr>
              <w:t>3</w:t>
            </w:r>
          </w:p>
        </w:tc>
        <w:tc>
          <w:tcPr>
            <w:tcW w:w="990" w:type="dxa"/>
            <w:tcBorders>
              <w:bottom w:val="single" w:sz="4" w:space="0" w:color="auto"/>
            </w:tcBorders>
            <w:vAlign w:val="center"/>
          </w:tcPr>
          <w:p w:rsidR="000C53C2" w:rsidRPr="00AA2347" w:rsidRDefault="000C53C2" w:rsidP="00240B72">
            <w:pPr>
              <w:jc w:val="center"/>
              <w:rPr>
                <w:sz w:val="22"/>
                <w:szCs w:val="22"/>
                <w:lang w:val="en-US"/>
              </w:rPr>
            </w:pPr>
            <w:r w:rsidRPr="00AA2347">
              <w:rPr>
                <w:sz w:val="22"/>
                <w:szCs w:val="22"/>
                <w:lang w:val="en-US"/>
              </w:rPr>
              <w:t>79</w:t>
            </w:r>
          </w:p>
        </w:tc>
      </w:tr>
    </w:tbl>
    <w:p w:rsidR="000C53C2" w:rsidRPr="00AA2347" w:rsidRDefault="000C53C2" w:rsidP="000C53C2">
      <w:pPr>
        <w:rPr>
          <w:sz w:val="22"/>
          <w:szCs w:val="22"/>
          <w:lang w:val="en-US"/>
        </w:rPr>
      </w:pPr>
    </w:p>
    <w:p w:rsidR="000C53C2" w:rsidRPr="00AA2347" w:rsidRDefault="000C53C2" w:rsidP="000C53C2">
      <w:pPr>
        <w:rPr>
          <w:sz w:val="22"/>
          <w:szCs w:val="22"/>
          <w:lang w:val="en-US"/>
        </w:rPr>
        <w:sectPr w:rsidR="000C53C2" w:rsidRPr="00AA2347" w:rsidSect="00F528AF">
          <w:pgSz w:w="15840" w:h="12240" w:orient="landscape"/>
          <w:pgMar w:top="1800" w:right="1440" w:bottom="1800" w:left="1440" w:header="708" w:footer="708" w:gutter="0"/>
          <w:cols w:space="708"/>
          <w:docGrid w:linePitch="360"/>
        </w:sectPr>
      </w:pPr>
    </w:p>
    <w:p w:rsidR="000C53C2" w:rsidRPr="00AA2347" w:rsidRDefault="000C53C2" w:rsidP="000C53C2">
      <w:pPr>
        <w:rPr>
          <w:sz w:val="22"/>
          <w:szCs w:val="22"/>
          <w:lang w:val="en-US"/>
        </w:rPr>
      </w:pPr>
    </w:p>
    <w:p w:rsidR="000C53C2" w:rsidRPr="00AA2347" w:rsidRDefault="000C53C2" w:rsidP="000C53C2">
      <w:pPr>
        <w:rPr>
          <w:sz w:val="22"/>
          <w:szCs w:val="22"/>
          <w:lang w:val="en-US"/>
        </w:rPr>
      </w:pPr>
    </w:p>
    <w:p w:rsidR="000C53C2" w:rsidRPr="00AA2347" w:rsidRDefault="000C53C2" w:rsidP="000C53C2">
      <w:pPr>
        <w:rPr>
          <w:sz w:val="22"/>
          <w:szCs w:val="22"/>
          <w:lang w:val="en-US"/>
        </w:rPr>
      </w:pPr>
      <w:r w:rsidRPr="00AA2347">
        <w:rPr>
          <w:sz w:val="22"/>
          <w:szCs w:val="22"/>
          <w:lang w:val="en-US"/>
        </w:rPr>
        <w:t>Table 4. Logistic Regression Estimates of 6 Month Hazard of Sexual Recidivism Based on Time Free, Static-99R, and Sample Type iIn Full Sample (</w:t>
      </w:r>
      <w:r w:rsidRPr="00AA2347">
        <w:rPr>
          <w:i/>
          <w:sz w:val="22"/>
          <w:szCs w:val="22"/>
          <w:lang w:val="en-US"/>
        </w:rPr>
        <w:t>k</w:t>
      </w:r>
      <w:r w:rsidRPr="00AA2347">
        <w:rPr>
          <w:sz w:val="22"/>
          <w:szCs w:val="22"/>
          <w:lang w:val="en-US"/>
        </w:rPr>
        <w:t xml:space="preserve"> = 20, </w:t>
      </w:r>
      <w:r w:rsidRPr="00AA2347">
        <w:rPr>
          <w:i/>
          <w:sz w:val="22"/>
          <w:szCs w:val="22"/>
          <w:lang w:val="en-US"/>
        </w:rPr>
        <w:t>n</w:t>
      </w:r>
      <w:r w:rsidRPr="00AA2347">
        <w:rPr>
          <w:sz w:val="22"/>
          <w:szCs w:val="22"/>
          <w:lang w:val="en-US"/>
        </w:rPr>
        <w:t xml:space="preserve"> = 7,225, with 791 Sexual Recidivists).</w:t>
      </w:r>
    </w:p>
    <w:tbl>
      <w:tblPr>
        <w:tblStyle w:val="TableGrid"/>
        <w:tblW w:w="0" w:type="auto"/>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180"/>
        <w:gridCol w:w="1350"/>
        <w:gridCol w:w="1530"/>
        <w:gridCol w:w="1515"/>
        <w:gridCol w:w="1365"/>
        <w:gridCol w:w="1368"/>
      </w:tblGrid>
      <w:tr w:rsidR="000C53C2" w:rsidRPr="00AA2347" w:rsidTr="009B5ED1">
        <w:trPr>
          <w:trHeight w:val="620"/>
        </w:trPr>
        <w:tc>
          <w:tcPr>
            <w:tcW w:w="2340" w:type="dxa"/>
            <w:tcBorders>
              <w:top w:val="single" w:sz="4" w:space="0" w:color="auto"/>
            </w:tcBorders>
          </w:tcPr>
          <w:p w:rsidR="000C53C2" w:rsidRPr="00AA2347" w:rsidRDefault="000C53C2" w:rsidP="009B5ED1">
            <w:pPr>
              <w:rPr>
                <w:sz w:val="22"/>
                <w:szCs w:val="22"/>
                <w:lang w:val="en-US"/>
              </w:rPr>
            </w:pPr>
          </w:p>
        </w:tc>
        <w:tc>
          <w:tcPr>
            <w:tcW w:w="7308" w:type="dxa"/>
            <w:gridSpan w:val="6"/>
            <w:tcBorders>
              <w:top w:val="single" w:sz="4" w:space="0" w:color="auto"/>
            </w:tcBorders>
          </w:tcPr>
          <w:p w:rsidR="000C53C2" w:rsidRPr="00AA2347" w:rsidRDefault="000C53C2" w:rsidP="009B5ED1">
            <w:pPr>
              <w:pBdr>
                <w:bottom w:val="single" w:sz="4" w:space="1" w:color="auto"/>
              </w:pBdr>
              <w:jc w:val="center"/>
              <w:rPr>
                <w:sz w:val="22"/>
                <w:szCs w:val="22"/>
                <w:lang w:val="en-US"/>
              </w:rPr>
            </w:pPr>
          </w:p>
          <w:p w:rsidR="000C53C2" w:rsidRPr="00AA2347" w:rsidRDefault="000C53C2" w:rsidP="009B5ED1">
            <w:pPr>
              <w:pBdr>
                <w:bottom w:val="single" w:sz="4" w:space="1" w:color="auto"/>
              </w:pBdr>
              <w:jc w:val="center"/>
              <w:rPr>
                <w:sz w:val="22"/>
                <w:szCs w:val="22"/>
                <w:lang w:val="en-US"/>
              </w:rPr>
            </w:pPr>
            <w:r w:rsidRPr="00AA2347">
              <w:rPr>
                <w:sz w:val="22"/>
                <w:szCs w:val="22"/>
                <w:lang w:val="en-US"/>
              </w:rPr>
              <w:t>Models</w:t>
            </w:r>
          </w:p>
        </w:tc>
      </w:tr>
      <w:tr w:rsidR="000C53C2" w:rsidRPr="00AA2347" w:rsidTr="009B5ED1">
        <w:trPr>
          <w:trHeight w:val="80"/>
        </w:trPr>
        <w:tc>
          <w:tcPr>
            <w:tcW w:w="2340" w:type="dxa"/>
            <w:tcBorders>
              <w:bottom w:val="single" w:sz="4" w:space="0" w:color="auto"/>
            </w:tcBorders>
          </w:tcPr>
          <w:p w:rsidR="000C53C2" w:rsidRPr="00AA2347" w:rsidRDefault="000C53C2" w:rsidP="009B5ED1">
            <w:pPr>
              <w:rPr>
                <w:sz w:val="22"/>
                <w:szCs w:val="22"/>
                <w:lang w:val="en-US"/>
              </w:rPr>
            </w:pPr>
          </w:p>
        </w:tc>
        <w:tc>
          <w:tcPr>
            <w:tcW w:w="1530" w:type="dxa"/>
            <w:gridSpan w:val="2"/>
            <w:tcBorders>
              <w:bottom w:val="single" w:sz="4" w:space="0" w:color="auto"/>
            </w:tcBorders>
          </w:tcPr>
          <w:p w:rsidR="000C53C2" w:rsidRPr="00AA2347" w:rsidRDefault="000C53C2" w:rsidP="009B5ED1">
            <w:pPr>
              <w:jc w:val="center"/>
              <w:rPr>
                <w:sz w:val="22"/>
                <w:szCs w:val="22"/>
                <w:lang w:val="en-US"/>
              </w:rPr>
            </w:pPr>
            <w:r w:rsidRPr="00AA2347">
              <w:rPr>
                <w:sz w:val="22"/>
                <w:szCs w:val="22"/>
                <w:lang w:val="en-US"/>
              </w:rPr>
              <w:t>1</w:t>
            </w:r>
          </w:p>
        </w:tc>
        <w:tc>
          <w:tcPr>
            <w:tcW w:w="1530" w:type="dxa"/>
            <w:tcBorders>
              <w:bottom w:val="single" w:sz="4" w:space="0" w:color="auto"/>
            </w:tcBorders>
          </w:tcPr>
          <w:p w:rsidR="000C53C2" w:rsidRPr="00AA2347" w:rsidRDefault="000C53C2" w:rsidP="009B5ED1">
            <w:pPr>
              <w:jc w:val="center"/>
              <w:rPr>
                <w:sz w:val="22"/>
                <w:szCs w:val="22"/>
                <w:lang w:val="en-US"/>
              </w:rPr>
            </w:pPr>
            <w:r w:rsidRPr="00AA2347">
              <w:rPr>
                <w:sz w:val="22"/>
                <w:szCs w:val="22"/>
                <w:lang w:val="en-US"/>
              </w:rPr>
              <w:t>2</w:t>
            </w:r>
          </w:p>
        </w:tc>
        <w:tc>
          <w:tcPr>
            <w:tcW w:w="1515" w:type="dxa"/>
            <w:tcBorders>
              <w:bottom w:val="single" w:sz="4" w:space="0" w:color="auto"/>
            </w:tcBorders>
          </w:tcPr>
          <w:p w:rsidR="000C53C2" w:rsidRPr="00AA2347" w:rsidRDefault="000C53C2" w:rsidP="009B5ED1">
            <w:pPr>
              <w:jc w:val="center"/>
              <w:rPr>
                <w:sz w:val="22"/>
                <w:szCs w:val="22"/>
                <w:lang w:val="en-US"/>
              </w:rPr>
            </w:pPr>
            <w:r w:rsidRPr="00AA2347">
              <w:rPr>
                <w:sz w:val="22"/>
                <w:szCs w:val="22"/>
                <w:lang w:val="en-US"/>
              </w:rPr>
              <w:t>3</w:t>
            </w:r>
          </w:p>
        </w:tc>
        <w:tc>
          <w:tcPr>
            <w:tcW w:w="1365" w:type="dxa"/>
            <w:tcBorders>
              <w:bottom w:val="single" w:sz="4" w:space="0" w:color="auto"/>
            </w:tcBorders>
          </w:tcPr>
          <w:p w:rsidR="000C53C2" w:rsidRPr="00AA2347" w:rsidRDefault="000C53C2" w:rsidP="009B5ED1">
            <w:pPr>
              <w:jc w:val="center"/>
              <w:rPr>
                <w:sz w:val="22"/>
                <w:szCs w:val="22"/>
                <w:lang w:val="en-US"/>
              </w:rPr>
            </w:pPr>
            <w:r w:rsidRPr="00AA2347">
              <w:rPr>
                <w:sz w:val="22"/>
                <w:szCs w:val="22"/>
                <w:lang w:val="en-US"/>
              </w:rPr>
              <w:t>4</w:t>
            </w:r>
          </w:p>
        </w:tc>
        <w:tc>
          <w:tcPr>
            <w:tcW w:w="1368" w:type="dxa"/>
            <w:tcBorders>
              <w:bottom w:val="single" w:sz="4" w:space="0" w:color="auto"/>
            </w:tcBorders>
          </w:tcPr>
          <w:p w:rsidR="000C53C2" w:rsidRPr="00AA2347" w:rsidRDefault="000C53C2" w:rsidP="009B5ED1">
            <w:pPr>
              <w:jc w:val="center"/>
              <w:rPr>
                <w:sz w:val="22"/>
                <w:szCs w:val="22"/>
                <w:lang w:val="en-US"/>
              </w:rPr>
            </w:pPr>
            <w:r w:rsidRPr="00AA2347">
              <w:rPr>
                <w:sz w:val="22"/>
                <w:szCs w:val="22"/>
                <w:lang w:val="en-US"/>
              </w:rPr>
              <w:t>5</w:t>
            </w:r>
          </w:p>
        </w:tc>
      </w:tr>
      <w:tr w:rsidR="000C53C2" w:rsidRPr="00AA2347" w:rsidTr="009B5ED1">
        <w:tc>
          <w:tcPr>
            <w:tcW w:w="2340" w:type="dxa"/>
            <w:tcBorders>
              <w:top w:val="single" w:sz="4" w:space="0" w:color="auto"/>
            </w:tcBorders>
          </w:tcPr>
          <w:p w:rsidR="000C53C2" w:rsidRPr="00AA2347" w:rsidRDefault="000C53C2" w:rsidP="009B5ED1">
            <w:pPr>
              <w:rPr>
                <w:sz w:val="22"/>
                <w:szCs w:val="22"/>
                <w:lang w:val="en-US"/>
              </w:rPr>
            </w:pPr>
            <w:r w:rsidRPr="00AA2347">
              <w:rPr>
                <w:sz w:val="22"/>
                <w:szCs w:val="22"/>
                <w:lang w:val="en-US"/>
              </w:rPr>
              <w:t>Intercept</w:t>
            </w:r>
          </w:p>
          <w:p w:rsidR="000C53C2" w:rsidRPr="00AA2347" w:rsidRDefault="000C53C2" w:rsidP="009B5ED1">
            <w:pPr>
              <w:rPr>
                <w:sz w:val="22"/>
                <w:szCs w:val="22"/>
                <w:lang w:val="en-US"/>
              </w:rPr>
            </w:pPr>
          </w:p>
        </w:tc>
        <w:tc>
          <w:tcPr>
            <w:tcW w:w="1530" w:type="dxa"/>
            <w:gridSpan w:val="2"/>
            <w:tcBorders>
              <w:top w:val="single" w:sz="4" w:space="0" w:color="auto"/>
            </w:tcBorders>
          </w:tcPr>
          <w:p w:rsidR="000C53C2" w:rsidRPr="00AA2347" w:rsidRDefault="000C53C2" w:rsidP="009B5ED1">
            <w:pPr>
              <w:jc w:val="center"/>
              <w:rPr>
                <w:sz w:val="22"/>
                <w:szCs w:val="22"/>
                <w:lang w:val="en-US"/>
              </w:rPr>
            </w:pPr>
            <w:r w:rsidRPr="00AA2347">
              <w:rPr>
                <w:sz w:val="22"/>
                <w:szCs w:val="22"/>
                <w:lang w:val="en-US"/>
              </w:rPr>
              <w:t>-4.288(.055)</w:t>
            </w:r>
          </w:p>
          <w:p w:rsidR="000C53C2" w:rsidRPr="00AA2347" w:rsidRDefault="000C53C2" w:rsidP="009B5ED1">
            <w:pPr>
              <w:jc w:val="center"/>
              <w:rPr>
                <w:sz w:val="22"/>
                <w:szCs w:val="22"/>
                <w:lang w:val="en-US"/>
              </w:rPr>
            </w:pPr>
          </w:p>
        </w:tc>
        <w:tc>
          <w:tcPr>
            <w:tcW w:w="1530" w:type="dxa"/>
            <w:tcBorders>
              <w:top w:val="single" w:sz="4" w:space="0" w:color="auto"/>
            </w:tcBorders>
          </w:tcPr>
          <w:p w:rsidR="000C53C2" w:rsidRPr="00AA2347" w:rsidRDefault="000C53C2" w:rsidP="009B5ED1">
            <w:pPr>
              <w:jc w:val="center"/>
              <w:rPr>
                <w:sz w:val="22"/>
                <w:szCs w:val="22"/>
                <w:lang w:val="en-US"/>
              </w:rPr>
            </w:pPr>
            <w:r w:rsidRPr="00AA2347">
              <w:rPr>
                <w:sz w:val="22"/>
                <w:szCs w:val="22"/>
                <w:lang w:val="en-US"/>
              </w:rPr>
              <w:t>-4.732 (.065)</w:t>
            </w:r>
          </w:p>
        </w:tc>
        <w:tc>
          <w:tcPr>
            <w:tcW w:w="1515" w:type="dxa"/>
            <w:tcBorders>
              <w:top w:val="single" w:sz="4" w:space="0" w:color="auto"/>
            </w:tcBorders>
          </w:tcPr>
          <w:p w:rsidR="000C53C2" w:rsidRPr="00AA2347" w:rsidRDefault="000C53C2" w:rsidP="009B5ED1">
            <w:pPr>
              <w:jc w:val="center"/>
              <w:rPr>
                <w:sz w:val="22"/>
                <w:szCs w:val="22"/>
                <w:lang w:val="en-US"/>
              </w:rPr>
            </w:pPr>
            <w:r w:rsidRPr="00AA2347">
              <w:rPr>
                <w:sz w:val="22"/>
                <w:szCs w:val="22"/>
                <w:lang w:val="en-US"/>
              </w:rPr>
              <w:t>-4.800 (.075)</w:t>
            </w:r>
          </w:p>
        </w:tc>
        <w:tc>
          <w:tcPr>
            <w:tcW w:w="1365" w:type="dxa"/>
            <w:tcBorders>
              <w:top w:val="single" w:sz="4" w:space="0" w:color="auto"/>
            </w:tcBorders>
          </w:tcPr>
          <w:p w:rsidR="000C53C2" w:rsidRPr="00AA2347" w:rsidRDefault="000C53C2" w:rsidP="009B5ED1">
            <w:pPr>
              <w:jc w:val="center"/>
              <w:rPr>
                <w:sz w:val="22"/>
                <w:szCs w:val="22"/>
                <w:lang w:val="en-US"/>
              </w:rPr>
            </w:pPr>
            <w:r w:rsidRPr="00AA2347">
              <w:rPr>
                <w:sz w:val="22"/>
                <w:szCs w:val="22"/>
                <w:lang w:val="en-US"/>
              </w:rPr>
              <w:t>-4.885 (.074)</w:t>
            </w:r>
          </w:p>
        </w:tc>
        <w:tc>
          <w:tcPr>
            <w:tcW w:w="1368" w:type="dxa"/>
            <w:tcBorders>
              <w:top w:val="single" w:sz="4" w:space="0" w:color="auto"/>
            </w:tcBorders>
          </w:tcPr>
          <w:p w:rsidR="000C53C2" w:rsidRPr="00AA2347" w:rsidRDefault="000C53C2" w:rsidP="009B5ED1">
            <w:pPr>
              <w:jc w:val="center"/>
              <w:rPr>
                <w:sz w:val="22"/>
                <w:szCs w:val="22"/>
                <w:lang w:val="en-US"/>
              </w:rPr>
            </w:pPr>
            <w:r w:rsidRPr="00AA2347">
              <w:rPr>
                <w:sz w:val="22"/>
                <w:szCs w:val="22"/>
                <w:lang w:val="en-US"/>
              </w:rPr>
              <w:t>-5.002 (.085)</w:t>
            </w:r>
          </w:p>
        </w:tc>
      </w:tr>
      <w:tr w:rsidR="000C53C2" w:rsidRPr="00AA2347" w:rsidTr="009B5ED1">
        <w:tc>
          <w:tcPr>
            <w:tcW w:w="2340" w:type="dxa"/>
          </w:tcPr>
          <w:p w:rsidR="000C53C2" w:rsidRPr="00AA2347" w:rsidRDefault="000C53C2" w:rsidP="009B5ED1">
            <w:pPr>
              <w:rPr>
                <w:sz w:val="22"/>
                <w:szCs w:val="22"/>
                <w:lang w:val="en-US"/>
              </w:rPr>
            </w:pPr>
            <w:r w:rsidRPr="00AA2347">
              <w:rPr>
                <w:sz w:val="22"/>
                <w:szCs w:val="22"/>
                <w:lang w:val="en-US"/>
              </w:rPr>
              <w:t xml:space="preserve">Time Free (years) </w:t>
            </w:r>
          </w:p>
          <w:p w:rsidR="000C53C2" w:rsidRPr="00AA2347" w:rsidRDefault="000C53C2" w:rsidP="009B5ED1">
            <w:pPr>
              <w:rPr>
                <w:sz w:val="22"/>
                <w:szCs w:val="22"/>
                <w:lang w:val="en-US"/>
              </w:rPr>
            </w:pPr>
          </w:p>
        </w:tc>
        <w:tc>
          <w:tcPr>
            <w:tcW w:w="1530" w:type="dxa"/>
            <w:gridSpan w:val="2"/>
            <w:vAlign w:val="center"/>
          </w:tcPr>
          <w:p w:rsidR="000C53C2" w:rsidRPr="00AA2347" w:rsidRDefault="000C53C2" w:rsidP="009B5ED1">
            <w:pPr>
              <w:jc w:val="center"/>
              <w:rPr>
                <w:sz w:val="22"/>
                <w:szCs w:val="22"/>
                <w:lang w:val="en-US"/>
              </w:rPr>
            </w:pPr>
            <w:r w:rsidRPr="00AA2347">
              <w:rPr>
                <w:sz w:val="22"/>
                <w:szCs w:val="22"/>
                <w:lang w:val="en-US"/>
              </w:rPr>
              <w:t>-.131 (.011)</w:t>
            </w:r>
          </w:p>
          <w:p w:rsidR="000C53C2" w:rsidRPr="00AA2347" w:rsidRDefault="000C53C2" w:rsidP="009B5ED1">
            <w:pPr>
              <w:jc w:val="center"/>
              <w:rPr>
                <w:sz w:val="22"/>
                <w:szCs w:val="22"/>
                <w:lang w:val="en-US"/>
              </w:rPr>
            </w:pPr>
          </w:p>
        </w:tc>
        <w:tc>
          <w:tcPr>
            <w:tcW w:w="1530" w:type="dxa"/>
          </w:tcPr>
          <w:p w:rsidR="000C53C2" w:rsidRPr="00AA2347" w:rsidRDefault="000C53C2" w:rsidP="009B5ED1">
            <w:pPr>
              <w:jc w:val="center"/>
              <w:rPr>
                <w:sz w:val="22"/>
                <w:szCs w:val="22"/>
                <w:lang w:val="en-US"/>
              </w:rPr>
            </w:pPr>
            <w:r w:rsidRPr="00AA2347">
              <w:rPr>
                <w:sz w:val="22"/>
                <w:szCs w:val="22"/>
                <w:lang w:val="en-US"/>
              </w:rPr>
              <w:t>-.123 (.011)</w:t>
            </w:r>
          </w:p>
        </w:tc>
        <w:tc>
          <w:tcPr>
            <w:tcW w:w="1515" w:type="dxa"/>
          </w:tcPr>
          <w:p w:rsidR="000C53C2" w:rsidRPr="00AA2347" w:rsidRDefault="000C53C2" w:rsidP="009B5ED1">
            <w:pPr>
              <w:jc w:val="center"/>
              <w:rPr>
                <w:sz w:val="22"/>
                <w:szCs w:val="22"/>
                <w:lang w:val="en-US"/>
              </w:rPr>
            </w:pPr>
            <w:r w:rsidRPr="00AA2347">
              <w:rPr>
                <w:sz w:val="22"/>
                <w:szCs w:val="22"/>
                <w:lang w:val="en-US"/>
              </w:rPr>
              <w:t>-.106 (.014)</w:t>
            </w:r>
          </w:p>
        </w:tc>
        <w:tc>
          <w:tcPr>
            <w:tcW w:w="1365" w:type="dxa"/>
          </w:tcPr>
          <w:p w:rsidR="000C53C2" w:rsidRPr="00AA2347" w:rsidRDefault="000C53C2" w:rsidP="009B5ED1">
            <w:pPr>
              <w:jc w:val="center"/>
              <w:rPr>
                <w:sz w:val="22"/>
                <w:szCs w:val="22"/>
                <w:lang w:val="en-US"/>
              </w:rPr>
            </w:pPr>
            <w:r w:rsidRPr="00AA2347">
              <w:rPr>
                <w:sz w:val="22"/>
                <w:szCs w:val="22"/>
                <w:lang w:val="en-US"/>
              </w:rPr>
              <w:t>-.128 (.011)</w:t>
            </w:r>
          </w:p>
        </w:tc>
        <w:tc>
          <w:tcPr>
            <w:tcW w:w="1368" w:type="dxa"/>
          </w:tcPr>
          <w:p w:rsidR="000C53C2" w:rsidRPr="00AA2347" w:rsidRDefault="000C53C2" w:rsidP="009B5ED1">
            <w:pPr>
              <w:rPr>
                <w:sz w:val="22"/>
                <w:szCs w:val="22"/>
                <w:lang w:val="en-US"/>
              </w:rPr>
            </w:pPr>
            <w:r w:rsidRPr="00AA2347">
              <w:rPr>
                <w:sz w:val="22"/>
                <w:szCs w:val="22"/>
                <w:lang w:val="en-US"/>
              </w:rPr>
              <w:t>-.130 (.011)</w:t>
            </w:r>
          </w:p>
        </w:tc>
      </w:tr>
      <w:tr w:rsidR="000C53C2" w:rsidRPr="00AA2347" w:rsidTr="009B5ED1">
        <w:tc>
          <w:tcPr>
            <w:tcW w:w="2340" w:type="dxa"/>
          </w:tcPr>
          <w:p w:rsidR="000C53C2" w:rsidRPr="00AA2347" w:rsidRDefault="000C53C2" w:rsidP="009B5ED1">
            <w:pPr>
              <w:rPr>
                <w:sz w:val="22"/>
                <w:szCs w:val="22"/>
                <w:lang w:val="en-US"/>
              </w:rPr>
            </w:pPr>
            <w:r w:rsidRPr="00AA2347">
              <w:rPr>
                <w:sz w:val="22"/>
                <w:szCs w:val="22"/>
                <w:lang w:val="en-US"/>
              </w:rPr>
              <w:t xml:space="preserve">Static-99R </w:t>
            </w:r>
          </w:p>
        </w:tc>
        <w:tc>
          <w:tcPr>
            <w:tcW w:w="1530" w:type="dxa"/>
            <w:gridSpan w:val="2"/>
            <w:vAlign w:val="center"/>
          </w:tcPr>
          <w:p w:rsidR="000C53C2" w:rsidRPr="00AA2347" w:rsidRDefault="000C53C2" w:rsidP="009B5ED1">
            <w:pPr>
              <w:jc w:val="center"/>
              <w:rPr>
                <w:sz w:val="22"/>
                <w:szCs w:val="22"/>
                <w:lang w:val="en-US"/>
              </w:rPr>
            </w:pPr>
          </w:p>
        </w:tc>
        <w:tc>
          <w:tcPr>
            <w:tcW w:w="1530" w:type="dxa"/>
          </w:tcPr>
          <w:p w:rsidR="000C53C2" w:rsidRPr="00AA2347" w:rsidRDefault="000C53C2" w:rsidP="009B5ED1">
            <w:pPr>
              <w:jc w:val="center"/>
              <w:rPr>
                <w:sz w:val="22"/>
                <w:szCs w:val="22"/>
                <w:lang w:val="en-US"/>
              </w:rPr>
            </w:pPr>
            <w:r w:rsidRPr="00AA2347">
              <w:rPr>
                <w:sz w:val="22"/>
                <w:szCs w:val="22"/>
                <w:lang w:val="en-US"/>
              </w:rPr>
              <w:t>.289 (.014)</w:t>
            </w:r>
          </w:p>
        </w:tc>
        <w:tc>
          <w:tcPr>
            <w:tcW w:w="1515" w:type="dxa"/>
          </w:tcPr>
          <w:p w:rsidR="000C53C2" w:rsidRPr="00AA2347" w:rsidRDefault="000C53C2" w:rsidP="009B5ED1">
            <w:pPr>
              <w:jc w:val="center"/>
              <w:rPr>
                <w:sz w:val="22"/>
                <w:szCs w:val="22"/>
                <w:lang w:val="en-US"/>
              </w:rPr>
            </w:pPr>
            <w:r w:rsidRPr="00AA2347">
              <w:rPr>
                <w:sz w:val="22"/>
                <w:szCs w:val="22"/>
                <w:lang w:val="en-US"/>
              </w:rPr>
              <w:t>.319 (.021)</w:t>
            </w:r>
          </w:p>
          <w:p w:rsidR="000C53C2" w:rsidRPr="00AA2347" w:rsidRDefault="000C53C2" w:rsidP="009B5ED1">
            <w:pPr>
              <w:jc w:val="center"/>
              <w:rPr>
                <w:sz w:val="22"/>
                <w:szCs w:val="22"/>
                <w:lang w:val="en-US"/>
              </w:rPr>
            </w:pPr>
          </w:p>
        </w:tc>
        <w:tc>
          <w:tcPr>
            <w:tcW w:w="1365" w:type="dxa"/>
          </w:tcPr>
          <w:p w:rsidR="000C53C2" w:rsidRPr="00AA2347" w:rsidRDefault="000C53C2" w:rsidP="009B5ED1">
            <w:pPr>
              <w:jc w:val="center"/>
              <w:rPr>
                <w:sz w:val="22"/>
                <w:szCs w:val="22"/>
                <w:lang w:val="en-US"/>
              </w:rPr>
            </w:pPr>
            <w:r w:rsidRPr="00AA2347">
              <w:rPr>
                <w:sz w:val="22"/>
                <w:szCs w:val="22"/>
                <w:lang w:val="en-US"/>
              </w:rPr>
              <w:t>.270 (.015)</w:t>
            </w:r>
          </w:p>
        </w:tc>
        <w:tc>
          <w:tcPr>
            <w:tcW w:w="1368" w:type="dxa"/>
          </w:tcPr>
          <w:p w:rsidR="000C53C2" w:rsidRPr="00AA2347" w:rsidRDefault="000C53C2" w:rsidP="009B5ED1">
            <w:pPr>
              <w:jc w:val="center"/>
              <w:rPr>
                <w:sz w:val="22"/>
                <w:szCs w:val="22"/>
                <w:lang w:val="en-US"/>
              </w:rPr>
            </w:pPr>
            <w:r w:rsidRPr="00AA2347">
              <w:rPr>
                <w:sz w:val="22"/>
                <w:szCs w:val="22"/>
                <w:lang w:val="en-US"/>
              </w:rPr>
              <w:t>.329 (.022)</w:t>
            </w:r>
          </w:p>
        </w:tc>
      </w:tr>
      <w:tr w:rsidR="000C53C2" w:rsidRPr="00AA2347" w:rsidTr="009B5ED1">
        <w:tc>
          <w:tcPr>
            <w:tcW w:w="2340" w:type="dxa"/>
          </w:tcPr>
          <w:p w:rsidR="000C53C2" w:rsidRPr="00AA2347" w:rsidRDefault="000C53C2" w:rsidP="009B5ED1">
            <w:pPr>
              <w:rPr>
                <w:sz w:val="22"/>
                <w:szCs w:val="22"/>
                <w:lang w:val="en-US"/>
              </w:rPr>
            </w:pPr>
            <w:r w:rsidRPr="00AA2347">
              <w:rPr>
                <w:sz w:val="22"/>
                <w:szCs w:val="22"/>
                <w:lang w:val="en-US"/>
              </w:rPr>
              <w:t>Static-99R by Time</w:t>
            </w:r>
          </w:p>
        </w:tc>
        <w:tc>
          <w:tcPr>
            <w:tcW w:w="1530" w:type="dxa"/>
            <w:gridSpan w:val="2"/>
            <w:vAlign w:val="center"/>
          </w:tcPr>
          <w:p w:rsidR="000C53C2" w:rsidRPr="00AA2347" w:rsidRDefault="000C53C2" w:rsidP="009B5ED1">
            <w:pPr>
              <w:jc w:val="center"/>
              <w:rPr>
                <w:sz w:val="22"/>
                <w:szCs w:val="22"/>
                <w:lang w:val="en-US"/>
              </w:rPr>
            </w:pPr>
          </w:p>
        </w:tc>
        <w:tc>
          <w:tcPr>
            <w:tcW w:w="1530" w:type="dxa"/>
          </w:tcPr>
          <w:p w:rsidR="000C53C2" w:rsidRPr="00AA2347" w:rsidRDefault="000C53C2" w:rsidP="009B5ED1">
            <w:pPr>
              <w:jc w:val="center"/>
              <w:rPr>
                <w:sz w:val="22"/>
                <w:szCs w:val="22"/>
                <w:lang w:val="en-US"/>
              </w:rPr>
            </w:pPr>
          </w:p>
        </w:tc>
        <w:tc>
          <w:tcPr>
            <w:tcW w:w="1515" w:type="dxa"/>
          </w:tcPr>
          <w:p w:rsidR="000C53C2" w:rsidRPr="00AA2347" w:rsidRDefault="000C53C2" w:rsidP="009B5ED1">
            <w:pPr>
              <w:jc w:val="center"/>
              <w:rPr>
                <w:sz w:val="22"/>
                <w:szCs w:val="22"/>
                <w:lang w:val="en-US"/>
              </w:rPr>
            </w:pPr>
            <w:r w:rsidRPr="00AA2347">
              <w:rPr>
                <w:sz w:val="22"/>
                <w:szCs w:val="22"/>
                <w:lang w:val="en-US"/>
              </w:rPr>
              <w:t>-.0082 (.0043)</w:t>
            </w:r>
          </w:p>
        </w:tc>
        <w:tc>
          <w:tcPr>
            <w:tcW w:w="1365" w:type="dxa"/>
          </w:tcPr>
          <w:p w:rsidR="000C53C2" w:rsidRPr="00AA2347" w:rsidRDefault="000C53C2" w:rsidP="009B5ED1">
            <w:pPr>
              <w:rPr>
                <w:sz w:val="22"/>
                <w:szCs w:val="22"/>
                <w:lang w:val="en-US"/>
              </w:rPr>
            </w:pPr>
          </w:p>
        </w:tc>
        <w:tc>
          <w:tcPr>
            <w:tcW w:w="1368" w:type="dxa"/>
          </w:tcPr>
          <w:p w:rsidR="000C53C2" w:rsidRPr="00AA2347" w:rsidRDefault="000C53C2" w:rsidP="009B5ED1">
            <w:pPr>
              <w:rPr>
                <w:sz w:val="22"/>
                <w:szCs w:val="22"/>
                <w:lang w:val="en-US"/>
              </w:rPr>
            </w:pPr>
          </w:p>
        </w:tc>
      </w:tr>
      <w:tr w:rsidR="000C53C2" w:rsidRPr="00AA2347" w:rsidTr="009B5ED1">
        <w:trPr>
          <w:trHeight w:val="810"/>
        </w:trPr>
        <w:tc>
          <w:tcPr>
            <w:tcW w:w="3870" w:type="dxa"/>
            <w:gridSpan w:val="3"/>
          </w:tcPr>
          <w:p w:rsidR="000C53C2" w:rsidRPr="00AA2347" w:rsidRDefault="000C53C2" w:rsidP="009B5ED1">
            <w:pPr>
              <w:rPr>
                <w:sz w:val="22"/>
                <w:szCs w:val="22"/>
                <w:lang w:val="en-US"/>
              </w:rPr>
            </w:pPr>
          </w:p>
          <w:p w:rsidR="000C53C2" w:rsidRPr="00AA2347" w:rsidRDefault="000C53C2" w:rsidP="009B5ED1">
            <w:pPr>
              <w:rPr>
                <w:sz w:val="22"/>
                <w:szCs w:val="22"/>
                <w:lang w:val="en-US"/>
              </w:rPr>
            </w:pPr>
            <w:r w:rsidRPr="00AA2347">
              <w:rPr>
                <w:sz w:val="22"/>
                <w:szCs w:val="22"/>
                <w:lang w:val="en-US"/>
              </w:rPr>
              <w:t>Sample Type (reference category is routine/complete)</w:t>
            </w:r>
          </w:p>
        </w:tc>
        <w:tc>
          <w:tcPr>
            <w:tcW w:w="1530" w:type="dxa"/>
          </w:tcPr>
          <w:p w:rsidR="000C53C2" w:rsidRPr="00AA2347" w:rsidRDefault="000C53C2" w:rsidP="009B5ED1">
            <w:pPr>
              <w:jc w:val="center"/>
              <w:rPr>
                <w:sz w:val="22"/>
                <w:szCs w:val="22"/>
                <w:lang w:val="en-US"/>
              </w:rPr>
            </w:pPr>
          </w:p>
        </w:tc>
        <w:tc>
          <w:tcPr>
            <w:tcW w:w="1515" w:type="dxa"/>
          </w:tcPr>
          <w:p w:rsidR="000C53C2" w:rsidRPr="00AA2347" w:rsidRDefault="000C53C2" w:rsidP="009B5ED1">
            <w:pPr>
              <w:jc w:val="center"/>
              <w:rPr>
                <w:sz w:val="22"/>
                <w:szCs w:val="22"/>
                <w:lang w:val="en-US"/>
              </w:rPr>
            </w:pPr>
          </w:p>
        </w:tc>
        <w:tc>
          <w:tcPr>
            <w:tcW w:w="1365" w:type="dxa"/>
          </w:tcPr>
          <w:p w:rsidR="000C53C2" w:rsidRPr="00AA2347" w:rsidRDefault="000C53C2" w:rsidP="009B5ED1">
            <w:pPr>
              <w:jc w:val="center"/>
              <w:rPr>
                <w:sz w:val="22"/>
                <w:szCs w:val="22"/>
                <w:lang w:val="en-US"/>
              </w:rPr>
            </w:pPr>
          </w:p>
        </w:tc>
        <w:tc>
          <w:tcPr>
            <w:tcW w:w="1368" w:type="dxa"/>
          </w:tcPr>
          <w:p w:rsidR="000C53C2" w:rsidRPr="00AA2347" w:rsidRDefault="000C53C2" w:rsidP="009B5ED1">
            <w:pPr>
              <w:jc w:val="center"/>
              <w:rPr>
                <w:sz w:val="22"/>
                <w:szCs w:val="22"/>
                <w:lang w:val="en-US"/>
              </w:rPr>
            </w:pPr>
          </w:p>
        </w:tc>
      </w:tr>
      <w:tr w:rsidR="000C53C2" w:rsidRPr="00AA2347" w:rsidTr="009B5ED1">
        <w:tc>
          <w:tcPr>
            <w:tcW w:w="2340" w:type="dxa"/>
          </w:tcPr>
          <w:p w:rsidR="000C53C2" w:rsidRPr="00AA2347" w:rsidRDefault="000C53C2" w:rsidP="009B5ED1">
            <w:pPr>
              <w:rPr>
                <w:sz w:val="22"/>
                <w:szCs w:val="22"/>
                <w:lang w:val="en-US"/>
              </w:rPr>
            </w:pPr>
            <w:r w:rsidRPr="00AA2347">
              <w:rPr>
                <w:sz w:val="22"/>
                <w:szCs w:val="22"/>
                <w:lang w:val="en-US"/>
              </w:rPr>
              <w:t xml:space="preserve">  Treatment</w:t>
            </w:r>
          </w:p>
        </w:tc>
        <w:tc>
          <w:tcPr>
            <w:tcW w:w="1530" w:type="dxa"/>
            <w:gridSpan w:val="2"/>
            <w:vAlign w:val="center"/>
          </w:tcPr>
          <w:p w:rsidR="000C53C2" w:rsidRPr="00AA2347" w:rsidRDefault="000C53C2" w:rsidP="009B5ED1">
            <w:pPr>
              <w:jc w:val="center"/>
              <w:rPr>
                <w:sz w:val="22"/>
                <w:szCs w:val="22"/>
                <w:lang w:val="en-US"/>
              </w:rPr>
            </w:pPr>
          </w:p>
        </w:tc>
        <w:tc>
          <w:tcPr>
            <w:tcW w:w="1530" w:type="dxa"/>
          </w:tcPr>
          <w:p w:rsidR="000C53C2" w:rsidRPr="00AA2347" w:rsidRDefault="000C53C2" w:rsidP="009B5ED1">
            <w:pPr>
              <w:jc w:val="center"/>
              <w:rPr>
                <w:sz w:val="22"/>
                <w:szCs w:val="22"/>
                <w:lang w:val="en-US"/>
              </w:rPr>
            </w:pPr>
          </w:p>
        </w:tc>
        <w:tc>
          <w:tcPr>
            <w:tcW w:w="1515" w:type="dxa"/>
          </w:tcPr>
          <w:p w:rsidR="000C53C2" w:rsidRPr="00AA2347" w:rsidRDefault="000C53C2" w:rsidP="009B5ED1">
            <w:pPr>
              <w:jc w:val="center"/>
              <w:rPr>
                <w:sz w:val="22"/>
                <w:szCs w:val="22"/>
                <w:lang w:val="en-US"/>
              </w:rPr>
            </w:pPr>
          </w:p>
          <w:p w:rsidR="000C53C2" w:rsidRPr="00AA2347" w:rsidRDefault="000C53C2" w:rsidP="009B5ED1">
            <w:pPr>
              <w:jc w:val="center"/>
              <w:rPr>
                <w:sz w:val="22"/>
                <w:szCs w:val="22"/>
                <w:lang w:val="en-US"/>
              </w:rPr>
            </w:pPr>
          </w:p>
        </w:tc>
        <w:tc>
          <w:tcPr>
            <w:tcW w:w="1365" w:type="dxa"/>
          </w:tcPr>
          <w:p w:rsidR="000C53C2" w:rsidRPr="00AA2347" w:rsidRDefault="000C53C2" w:rsidP="009B5ED1">
            <w:pPr>
              <w:jc w:val="center"/>
              <w:rPr>
                <w:sz w:val="22"/>
                <w:szCs w:val="22"/>
                <w:lang w:val="en-US"/>
              </w:rPr>
            </w:pPr>
            <w:r w:rsidRPr="00AA2347">
              <w:rPr>
                <w:sz w:val="22"/>
                <w:szCs w:val="22"/>
                <w:lang w:val="en-US"/>
              </w:rPr>
              <w:t>.299 (.089)</w:t>
            </w:r>
          </w:p>
        </w:tc>
        <w:tc>
          <w:tcPr>
            <w:tcW w:w="1368" w:type="dxa"/>
          </w:tcPr>
          <w:p w:rsidR="000C53C2" w:rsidRPr="00AA2347" w:rsidRDefault="000C53C2" w:rsidP="009B5ED1">
            <w:pPr>
              <w:jc w:val="center"/>
              <w:rPr>
                <w:sz w:val="22"/>
                <w:szCs w:val="22"/>
                <w:lang w:val="en-US"/>
              </w:rPr>
            </w:pPr>
            <w:r w:rsidRPr="00AA2347">
              <w:rPr>
                <w:sz w:val="22"/>
                <w:szCs w:val="22"/>
                <w:lang w:val="en-US"/>
              </w:rPr>
              <w:t>.459 (.110)</w:t>
            </w:r>
          </w:p>
        </w:tc>
      </w:tr>
      <w:tr w:rsidR="000C53C2" w:rsidRPr="00AA2347" w:rsidTr="009B5ED1">
        <w:tc>
          <w:tcPr>
            <w:tcW w:w="2340" w:type="dxa"/>
          </w:tcPr>
          <w:p w:rsidR="000C53C2" w:rsidRPr="00AA2347" w:rsidRDefault="000C53C2" w:rsidP="009B5ED1">
            <w:pPr>
              <w:rPr>
                <w:sz w:val="22"/>
                <w:szCs w:val="22"/>
                <w:lang w:val="en-US"/>
              </w:rPr>
            </w:pPr>
            <w:r w:rsidRPr="00AA2347">
              <w:rPr>
                <w:sz w:val="22"/>
                <w:szCs w:val="22"/>
                <w:lang w:val="en-US"/>
              </w:rPr>
              <w:t xml:space="preserve">  High Risk/High Need</w:t>
            </w:r>
          </w:p>
        </w:tc>
        <w:tc>
          <w:tcPr>
            <w:tcW w:w="1530" w:type="dxa"/>
            <w:gridSpan w:val="2"/>
            <w:vAlign w:val="center"/>
          </w:tcPr>
          <w:p w:rsidR="000C53C2" w:rsidRPr="00AA2347" w:rsidRDefault="000C53C2" w:rsidP="009B5ED1">
            <w:pPr>
              <w:jc w:val="center"/>
              <w:rPr>
                <w:sz w:val="22"/>
                <w:szCs w:val="22"/>
                <w:lang w:val="en-US"/>
              </w:rPr>
            </w:pPr>
          </w:p>
        </w:tc>
        <w:tc>
          <w:tcPr>
            <w:tcW w:w="1530" w:type="dxa"/>
          </w:tcPr>
          <w:p w:rsidR="000C53C2" w:rsidRPr="00AA2347" w:rsidRDefault="000C53C2" w:rsidP="009B5ED1">
            <w:pPr>
              <w:jc w:val="center"/>
              <w:rPr>
                <w:sz w:val="22"/>
                <w:szCs w:val="22"/>
                <w:lang w:val="en-US"/>
              </w:rPr>
            </w:pPr>
          </w:p>
        </w:tc>
        <w:tc>
          <w:tcPr>
            <w:tcW w:w="1515" w:type="dxa"/>
          </w:tcPr>
          <w:p w:rsidR="000C53C2" w:rsidRPr="00AA2347" w:rsidRDefault="000C53C2" w:rsidP="009B5ED1">
            <w:pPr>
              <w:jc w:val="center"/>
              <w:rPr>
                <w:sz w:val="22"/>
                <w:szCs w:val="22"/>
                <w:lang w:val="en-US"/>
              </w:rPr>
            </w:pPr>
          </w:p>
          <w:p w:rsidR="000C53C2" w:rsidRPr="00AA2347" w:rsidRDefault="000C53C2" w:rsidP="009B5ED1">
            <w:pPr>
              <w:jc w:val="center"/>
              <w:rPr>
                <w:sz w:val="22"/>
                <w:szCs w:val="22"/>
                <w:lang w:val="en-US"/>
              </w:rPr>
            </w:pPr>
          </w:p>
        </w:tc>
        <w:tc>
          <w:tcPr>
            <w:tcW w:w="1365" w:type="dxa"/>
          </w:tcPr>
          <w:p w:rsidR="000C53C2" w:rsidRPr="00AA2347" w:rsidRDefault="000C53C2" w:rsidP="009B5ED1">
            <w:pPr>
              <w:jc w:val="center"/>
              <w:rPr>
                <w:sz w:val="22"/>
                <w:szCs w:val="22"/>
                <w:lang w:val="en-US"/>
              </w:rPr>
            </w:pPr>
            <w:r w:rsidRPr="00AA2347">
              <w:rPr>
                <w:sz w:val="22"/>
                <w:szCs w:val="22"/>
                <w:lang w:val="en-US"/>
              </w:rPr>
              <w:t>.530 (.090)</w:t>
            </w:r>
          </w:p>
        </w:tc>
        <w:tc>
          <w:tcPr>
            <w:tcW w:w="1368" w:type="dxa"/>
          </w:tcPr>
          <w:p w:rsidR="000C53C2" w:rsidRPr="00AA2347" w:rsidRDefault="000C53C2" w:rsidP="009B5ED1">
            <w:pPr>
              <w:jc w:val="center"/>
              <w:rPr>
                <w:sz w:val="22"/>
                <w:szCs w:val="22"/>
                <w:lang w:val="en-US"/>
              </w:rPr>
            </w:pPr>
            <w:r w:rsidRPr="00AA2347">
              <w:rPr>
                <w:sz w:val="22"/>
                <w:szCs w:val="22"/>
                <w:lang w:val="en-US"/>
              </w:rPr>
              <w:t>.920 (.136)</w:t>
            </w:r>
          </w:p>
        </w:tc>
      </w:tr>
      <w:tr w:rsidR="000C53C2" w:rsidRPr="00AA2347" w:rsidTr="009B5ED1">
        <w:tc>
          <w:tcPr>
            <w:tcW w:w="2340" w:type="dxa"/>
          </w:tcPr>
          <w:p w:rsidR="000C53C2" w:rsidRPr="00AA2347" w:rsidRDefault="000C53C2" w:rsidP="009B5ED1">
            <w:pPr>
              <w:rPr>
                <w:sz w:val="22"/>
                <w:szCs w:val="22"/>
                <w:lang w:val="en-US"/>
              </w:rPr>
            </w:pPr>
            <w:r w:rsidRPr="00AA2347">
              <w:rPr>
                <w:sz w:val="22"/>
                <w:szCs w:val="22"/>
                <w:lang w:val="en-US"/>
              </w:rPr>
              <w:t xml:space="preserve">  Other</w:t>
            </w:r>
          </w:p>
        </w:tc>
        <w:tc>
          <w:tcPr>
            <w:tcW w:w="1530" w:type="dxa"/>
            <w:gridSpan w:val="2"/>
            <w:vAlign w:val="center"/>
          </w:tcPr>
          <w:p w:rsidR="000C53C2" w:rsidRPr="00AA2347" w:rsidRDefault="000C53C2" w:rsidP="009B5ED1">
            <w:pPr>
              <w:jc w:val="center"/>
              <w:rPr>
                <w:sz w:val="22"/>
                <w:szCs w:val="22"/>
                <w:lang w:val="en-US"/>
              </w:rPr>
            </w:pPr>
          </w:p>
        </w:tc>
        <w:tc>
          <w:tcPr>
            <w:tcW w:w="1530" w:type="dxa"/>
          </w:tcPr>
          <w:p w:rsidR="000C53C2" w:rsidRPr="00AA2347" w:rsidRDefault="000C53C2" w:rsidP="009B5ED1">
            <w:pPr>
              <w:jc w:val="center"/>
              <w:rPr>
                <w:sz w:val="22"/>
                <w:szCs w:val="22"/>
                <w:lang w:val="en-US"/>
              </w:rPr>
            </w:pPr>
          </w:p>
        </w:tc>
        <w:tc>
          <w:tcPr>
            <w:tcW w:w="1515" w:type="dxa"/>
          </w:tcPr>
          <w:p w:rsidR="000C53C2" w:rsidRPr="00AA2347" w:rsidRDefault="000C53C2" w:rsidP="009B5ED1">
            <w:pPr>
              <w:jc w:val="center"/>
              <w:rPr>
                <w:sz w:val="22"/>
                <w:szCs w:val="22"/>
                <w:lang w:val="en-US"/>
              </w:rPr>
            </w:pPr>
          </w:p>
          <w:p w:rsidR="000C53C2" w:rsidRPr="00AA2347" w:rsidRDefault="000C53C2" w:rsidP="009B5ED1">
            <w:pPr>
              <w:jc w:val="center"/>
              <w:rPr>
                <w:sz w:val="22"/>
                <w:szCs w:val="22"/>
                <w:lang w:val="en-US"/>
              </w:rPr>
            </w:pPr>
          </w:p>
        </w:tc>
        <w:tc>
          <w:tcPr>
            <w:tcW w:w="1365" w:type="dxa"/>
          </w:tcPr>
          <w:p w:rsidR="000C53C2" w:rsidRPr="00AA2347" w:rsidRDefault="000C53C2" w:rsidP="009B5ED1">
            <w:pPr>
              <w:jc w:val="center"/>
              <w:rPr>
                <w:sz w:val="22"/>
                <w:szCs w:val="22"/>
                <w:lang w:val="en-US"/>
              </w:rPr>
            </w:pPr>
            <w:r w:rsidRPr="00AA2347">
              <w:rPr>
                <w:sz w:val="22"/>
                <w:szCs w:val="22"/>
                <w:lang w:val="en-US"/>
              </w:rPr>
              <w:t>-.397 (.285)</w:t>
            </w:r>
          </w:p>
        </w:tc>
        <w:tc>
          <w:tcPr>
            <w:tcW w:w="1368" w:type="dxa"/>
          </w:tcPr>
          <w:p w:rsidR="000C53C2" w:rsidRPr="00AA2347" w:rsidRDefault="000C53C2" w:rsidP="009B5ED1">
            <w:pPr>
              <w:jc w:val="center"/>
              <w:rPr>
                <w:sz w:val="22"/>
                <w:szCs w:val="22"/>
                <w:lang w:val="en-US"/>
              </w:rPr>
            </w:pPr>
            <w:r w:rsidRPr="00AA2347">
              <w:rPr>
                <w:sz w:val="22"/>
                <w:szCs w:val="22"/>
                <w:lang w:val="en-US"/>
              </w:rPr>
              <w:t>-.705 (.595)</w:t>
            </w:r>
          </w:p>
        </w:tc>
      </w:tr>
      <w:tr w:rsidR="000C53C2" w:rsidRPr="00AA2347" w:rsidTr="009B5ED1">
        <w:tc>
          <w:tcPr>
            <w:tcW w:w="3870" w:type="dxa"/>
            <w:gridSpan w:val="3"/>
          </w:tcPr>
          <w:p w:rsidR="000C53C2" w:rsidRPr="00AA2347" w:rsidRDefault="000C53C2" w:rsidP="009B5ED1">
            <w:pPr>
              <w:rPr>
                <w:sz w:val="22"/>
                <w:szCs w:val="22"/>
                <w:lang w:val="en-US"/>
              </w:rPr>
            </w:pPr>
            <w:r w:rsidRPr="00AA2347">
              <w:rPr>
                <w:sz w:val="22"/>
                <w:szCs w:val="22"/>
                <w:lang w:val="en-US"/>
              </w:rPr>
              <w:t>Interaction: Static-99R by sample type</w:t>
            </w:r>
          </w:p>
        </w:tc>
        <w:tc>
          <w:tcPr>
            <w:tcW w:w="1530" w:type="dxa"/>
          </w:tcPr>
          <w:p w:rsidR="000C53C2" w:rsidRPr="00AA2347" w:rsidRDefault="000C53C2" w:rsidP="009B5ED1">
            <w:pPr>
              <w:jc w:val="center"/>
              <w:rPr>
                <w:sz w:val="22"/>
                <w:szCs w:val="22"/>
                <w:lang w:val="en-US"/>
              </w:rPr>
            </w:pPr>
          </w:p>
        </w:tc>
        <w:tc>
          <w:tcPr>
            <w:tcW w:w="1515" w:type="dxa"/>
          </w:tcPr>
          <w:p w:rsidR="000C53C2" w:rsidRPr="00AA2347" w:rsidRDefault="000C53C2" w:rsidP="009B5ED1">
            <w:pPr>
              <w:jc w:val="center"/>
              <w:rPr>
                <w:sz w:val="22"/>
                <w:szCs w:val="22"/>
                <w:lang w:val="en-US"/>
              </w:rPr>
            </w:pPr>
          </w:p>
        </w:tc>
        <w:tc>
          <w:tcPr>
            <w:tcW w:w="1365" w:type="dxa"/>
          </w:tcPr>
          <w:p w:rsidR="000C53C2" w:rsidRPr="00AA2347" w:rsidRDefault="000C53C2" w:rsidP="009B5ED1">
            <w:pPr>
              <w:rPr>
                <w:sz w:val="22"/>
                <w:szCs w:val="22"/>
                <w:lang w:val="en-US"/>
              </w:rPr>
            </w:pPr>
          </w:p>
        </w:tc>
        <w:tc>
          <w:tcPr>
            <w:tcW w:w="1368" w:type="dxa"/>
          </w:tcPr>
          <w:p w:rsidR="000C53C2" w:rsidRPr="00AA2347" w:rsidRDefault="000C53C2" w:rsidP="009B5ED1">
            <w:pPr>
              <w:rPr>
                <w:sz w:val="22"/>
                <w:szCs w:val="22"/>
                <w:lang w:val="en-US"/>
              </w:rPr>
            </w:pPr>
          </w:p>
        </w:tc>
      </w:tr>
      <w:tr w:rsidR="000C53C2" w:rsidRPr="00AA2347" w:rsidTr="009B5ED1">
        <w:tc>
          <w:tcPr>
            <w:tcW w:w="2340" w:type="dxa"/>
          </w:tcPr>
          <w:p w:rsidR="000C53C2" w:rsidRPr="00AA2347" w:rsidRDefault="000C53C2" w:rsidP="009B5ED1">
            <w:pPr>
              <w:rPr>
                <w:sz w:val="22"/>
                <w:szCs w:val="22"/>
                <w:lang w:val="en-US"/>
              </w:rPr>
            </w:pPr>
            <w:r w:rsidRPr="00AA2347">
              <w:rPr>
                <w:sz w:val="22"/>
                <w:szCs w:val="22"/>
                <w:lang w:val="en-US"/>
              </w:rPr>
              <w:t xml:space="preserve">  Treatment*STATIC</w:t>
            </w:r>
          </w:p>
        </w:tc>
        <w:tc>
          <w:tcPr>
            <w:tcW w:w="1530" w:type="dxa"/>
            <w:gridSpan w:val="2"/>
            <w:vAlign w:val="center"/>
          </w:tcPr>
          <w:p w:rsidR="000C53C2" w:rsidRPr="00AA2347" w:rsidRDefault="000C53C2" w:rsidP="009B5ED1">
            <w:pPr>
              <w:jc w:val="center"/>
              <w:rPr>
                <w:sz w:val="22"/>
                <w:szCs w:val="22"/>
                <w:lang w:val="en-US"/>
              </w:rPr>
            </w:pPr>
          </w:p>
        </w:tc>
        <w:tc>
          <w:tcPr>
            <w:tcW w:w="1530" w:type="dxa"/>
          </w:tcPr>
          <w:p w:rsidR="000C53C2" w:rsidRPr="00AA2347" w:rsidRDefault="000C53C2" w:rsidP="009B5ED1">
            <w:pPr>
              <w:jc w:val="center"/>
              <w:rPr>
                <w:sz w:val="22"/>
                <w:szCs w:val="22"/>
                <w:lang w:val="en-US"/>
              </w:rPr>
            </w:pPr>
          </w:p>
        </w:tc>
        <w:tc>
          <w:tcPr>
            <w:tcW w:w="1515" w:type="dxa"/>
          </w:tcPr>
          <w:p w:rsidR="000C53C2" w:rsidRPr="00AA2347" w:rsidRDefault="000C53C2" w:rsidP="009B5ED1">
            <w:pPr>
              <w:jc w:val="center"/>
              <w:rPr>
                <w:sz w:val="22"/>
                <w:szCs w:val="22"/>
                <w:lang w:val="en-US"/>
              </w:rPr>
            </w:pPr>
          </w:p>
        </w:tc>
        <w:tc>
          <w:tcPr>
            <w:tcW w:w="1365" w:type="dxa"/>
          </w:tcPr>
          <w:p w:rsidR="000C53C2" w:rsidRPr="00AA2347" w:rsidRDefault="000C53C2" w:rsidP="009B5ED1">
            <w:pPr>
              <w:rPr>
                <w:sz w:val="22"/>
                <w:szCs w:val="22"/>
                <w:lang w:val="en-US"/>
              </w:rPr>
            </w:pPr>
          </w:p>
        </w:tc>
        <w:tc>
          <w:tcPr>
            <w:tcW w:w="1368" w:type="dxa"/>
          </w:tcPr>
          <w:p w:rsidR="000C53C2" w:rsidRPr="00AA2347" w:rsidRDefault="000C53C2" w:rsidP="009B5ED1">
            <w:pPr>
              <w:rPr>
                <w:sz w:val="22"/>
                <w:szCs w:val="22"/>
                <w:lang w:val="en-US"/>
              </w:rPr>
            </w:pPr>
            <w:r w:rsidRPr="00AA2347">
              <w:rPr>
                <w:sz w:val="22"/>
                <w:szCs w:val="22"/>
                <w:lang w:val="en-US"/>
              </w:rPr>
              <w:t>-.081 (.034)</w:t>
            </w:r>
          </w:p>
          <w:p w:rsidR="000C53C2" w:rsidRPr="00AA2347" w:rsidRDefault="000C53C2" w:rsidP="009B5ED1">
            <w:pPr>
              <w:rPr>
                <w:sz w:val="22"/>
                <w:szCs w:val="22"/>
                <w:lang w:val="en-US"/>
              </w:rPr>
            </w:pPr>
          </w:p>
        </w:tc>
      </w:tr>
      <w:tr w:rsidR="000C53C2" w:rsidRPr="00AA2347" w:rsidTr="009B5ED1">
        <w:tc>
          <w:tcPr>
            <w:tcW w:w="3870" w:type="dxa"/>
            <w:gridSpan w:val="3"/>
          </w:tcPr>
          <w:p w:rsidR="000C53C2" w:rsidRPr="00AA2347" w:rsidRDefault="000C53C2" w:rsidP="009B5ED1">
            <w:pPr>
              <w:rPr>
                <w:sz w:val="22"/>
                <w:szCs w:val="22"/>
                <w:lang w:val="en-US"/>
              </w:rPr>
            </w:pPr>
            <w:r w:rsidRPr="00AA2347">
              <w:rPr>
                <w:sz w:val="22"/>
                <w:szCs w:val="22"/>
                <w:lang w:val="en-US"/>
              </w:rPr>
              <w:t xml:space="preserve">  High Risk/High Need*STATIC</w:t>
            </w:r>
          </w:p>
        </w:tc>
        <w:tc>
          <w:tcPr>
            <w:tcW w:w="1530" w:type="dxa"/>
          </w:tcPr>
          <w:p w:rsidR="000C53C2" w:rsidRPr="00AA2347" w:rsidRDefault="000C53C2" w:rsidP="009B5ED1">
            <w:pPr>
              <w:jc w:val="center"/>
              <w:rPr>
                <w:sz w:val="22"/>
                <w:szCs w:val="22"/>
                <w:lang w:val="en-US"/>
              </w:rPr>
            </w:pPr>
          </w:p>
        </w:tc>
        <w:tc>
          <w:tcPr>
            <w:tcW w:w="1515" w:type="dxa"/>
          </w:tcPr>
          <w:p w:rsidR="000C53C2" w:rsidRPr="00AA2347" w:rsidRDefault="000C53C2" w:rsidP="009B5ED1">
            <w:pPr>
              <w:jc w:val="center"/>
              <w:rPr>
                <w:sz w:val="22"/>
                <w:szCs w:val="22"/>
                <w:lang w:val="en-US"/>
              </w:rPr>
            </w:pPr>
          </w:p>
        </w:tc>
        <w:tc>
          <w:tcPr>
            <w:tcW w:w="1365" w:type="dxa"/>
          </w:tcPr>
          <w:p w:rsidR="000C53C2" w:rsidRPr="00AA2347" w:rsidRDefault="000C53C2" w:rsidP="009B5ED1">
            <w:pPr>
              <w:rPr>
                <w:sz w:val="22"/>
                <w:szCs w:val="22"/>
                <w:lang w:val="en-US"/>
              </w:rPr>
            </w:pPr>
          </w:p>
        </w:tc>
        <w:tc>
          <w:tcPr>
            <w:tcW w:w="1368" w:type="dxa"/>
          </w:tcPr>
          <w:p w:rsidR="000C53C2" w:rsidRPr="00AA2347" w:rsidRDefault="000C53C2" w:rsidP="009B5ED1">
            <w:pPr>
              <w:rPr>
                <w:sz w:val="22"/>
                <w:szCs w:val="22"/>
                <w:lang w:val="en-US"/>
              </w:rPr>
            </w:pPr>
            <w:r w:rsidRPr="00AA2347">
              <w:rPr>
                <w:sz w:val="22"/>
                <w:szCs w:val="22"/>
                <w:lang w:val="en-US"/>
              </w:rPr>
              <w:t>-.137 (.036)</w:t>
            </w:r>
          </w:p>
          <w:p w:rsidR="000C53C2" w:rsidRPr="00AA2347" w:rsidRDefault="000C53C2" w:rsidP="009B5ED1">
            <w:pPr>
              <w:rPr>
                <w:sz w:val="22"/>
                <w:szCs w:val="22"/>
                <w:lang w:val="en-US"/>
              </w:rPr>
            </w:pPr>
          </w:p>
        </w:tc>
      </w:tr>
      <w:tr w:rsidR="000C53C2" w:rsidRPr="00AA2347" w:rsidTr="009B5ED1">
        <w:tc>
          <w:tcPr>
            <w:tcW w:w="2520" w:type="dxa"/>
            <w:gridSpan w:val="2"/>
          </w:tcPr>
          <w:p w:rsidR="000C53C2" w:rsidRPr="00AA2347" w:rsidRDefault="000C53C2" w:rsidP="009B5ED1">
            <w:pPr>
              <w:rPr>
                <w:sz w:val="22"/>
                <w:szCs w:val="22"/>
                <w:lang w:val="en-US"/>
              </w:rPr>
            </w:pPr>
            <w:r w:rsidRPr="00AA2347">
              <w:rPr>
                <w:sz w:val="22"/>
                <w:szCs w:val="22"/>
                <w:lang w:val="en-US"/>
              </w:rPr>
              <w:t xml:space="preserve">  Other*STATIC</w:t>
            </w:r>
          </w:p>
        </w:tc>
        <w:tc>
          <w:tcPr>
            <w:tcW w:w="1350" w:type="dxa"/>
            <w:vAlign w:val="center"/>
          </w:tcPr>
          <w:p w:rsidR="000C53C2" w:rsidRPr="00AA2347" w:rsidRDefault="000C53C2" w:rsidP="009B5ED1">
            <w:pPr>
              <w:jc w:val="center"/>
              <w:rPr>
                <w:sz w:val="22"/>
                <w:szCs w:val="22"/>
                <w:lang w:val="en-US"/>
              </w:rPr>
            </w:pPr>
          </w:p>
        </w:tc>
        <w:tc>
          <w:tcPr>
            <w:tcW w:w="1530" w:type="dxa"/>
          </w:tcPr>
          <w:p w:rsidR="000C53C2" w:rsidRPr="00AA2347" w:rsidRDefault="000C53C2" w:rsidP="009B5ED1">
            <w:pPr>
              <w:jc w:val="center"/>
              <w:rPr>
                <w:sz w:val="22"/>
                <w:szCs w:val="22"/>
                <w:lang w:val="en-US"/>
              </w:rPr>
            </w:pPr>
          </w:p>
        </w:tc>
        <w:tc>
          <w:tcPr>
            <w:tcW w:w="1515" w:type="dxa"/>
          </w:tcPr>
          <w:p w:rsidR="000C53C2" w:rsidRPr="00AA2347" w:rsidRDefault="000C53C2" w:rsidP="009B5ED1">
            <w:pPr>
              <w:jc w:val="center"/>
              <w:rPr>
                <w:sz w:val="22"/>
                <w:szCs w:val="22"/>
                <w:lang w:val="en-US"/>
              </w:rPr>
            </w:pPr>
          </w:p>
        </w:tc>
        <w:tc>
          <w:tcPr>
            <w:tcW w:w="1365" w:type="dxa"/>
          </w:tcPr>
          <w:p w:rsidR="000C53C2" w:rsidRPr="00AA2347" w:rsidRDefault="000C53C2" w:rsidP="009B5ED1">
            <w:pPr>
              <w:rPr>
                <w:sz w:val="22"/>
                <w:szCs w:val="22"/>
                <w:lang w:val="en-US"/>
              </w:rPr>
            </w:pPr>
          </w:p>
        </w:tc>
        <w:tc>
          <w:tcPr>
            <w:tcW w:w="1368" w:type="dxa"/>
          </w:tcPr>
          <w:p w:rsidR="000C53C2" w:rsidRPr="00AA2347" w:rsidRDefault="000C53C2" w:rsidP="009B5ED1">
            <w:pPr>
              <w:rPr>
                <w:sz w:val="22"/>
                <w:szCs w:val="22"/>
                <w:lang w:val="en-US"/>
              </w:rPr>
            </w:pPr>
            <w:r w:rsidRPr="00AA2347">
              <w:rPr>
                <w:sz w:val="22"/>
                <w:szCs w:val="22"/>
                <w:lang w:val="en-US"/>
              </w:rPr>
              <w:t>.070 (.146)</w:t>
            </w:r>
          </w:p>
          <w:p w:rsidR="000C53C2" w:rsidRPr="00AA2347" w:rsidRDefault="000C53C2" w:rsidP="009B5ED1">
            <w:pPr>
              <w:rPr>
                <w:sz w:val="22"/>
                <w:szCs w:val="22"/>
                <w:lang w:val="en-US"/>
              </w:rPr>
            </w:pPr>
          </w:p>
        </w:tc>
      </w:tr>
      <w:tr w:rsidR="000C53C2" w:rsidRPr="00AA2347" w:rsidTr="009B5ED1">
        <w:trPr>
          <w:trHeight w:val="270"/>
        </w:trPr>
        <w:tc>
          <w:tcPr>
            <w:tcW w:w="2520" w:type="dxa"/>
            <w:gridSpan w:val="2"/>
          </w:tcPr>
          <w:p w:rsidR="000C53C2" w:rsidRPr="00AA2347" w:rsidRDefault="000C53C2" w:rsidP="009B5ED1">
            <w:pPr>
              <w:rPr>
                <w:sz w:val="22"/>
                <w:szCs w:val="22"/>
                <w:lang w:val="en-US"/>
              </w:rPr>
            </w:pPr>
            <w:r w:rsidRPr="00AA2347">
              <w:rPr>
                <w:sz w:val="22"/>
                <w:szCs w:val="22"/>
                <w:lang w:val="en-US"/>
              </w:rPr>
              <w:t>-2LL</w:t>
            </w:r>
          </w:p>
        </w:tc>
        <w:tc>
          <w:tcPr>
            <w:tcW w:w="1350" w:type="dxa"/>
          </w:tcPr>
          <w:p w:rsidR="000C53C2" w:rsidRPr="00AA2347" w:rsidRDefault="000C53C2" w:rsidP="009B5ED1">
            <w:pPr>
              <w:spacing w:line="360" w:lineRule="auto"/>
              <w:jc w:val="center"/>
              <w:rPr>
                <w:sz w:val="22"/>
                <w:szCs w:val="22"/>
                <w:lang w:val="en-US"/>
              </w:rPr>
            </w:pPr>
            <w:r w:rsidRPr="00AA2347">
              <w:rPr>
                <w:sz w:val="22"/>
                <w:szCs w:val="22"/>
                <w:lang w:val="en-US"/>
              </w:rPr>
              <w:t>9,139.17</w:t>
            </w:r>
          </w:p>
        </w:tc>
        <w:tc>
          <w:tcPr>
            <w:tcW w:w="1530" w:type="dxa"/>
          </w:tcPr>
          <w:p w:rsidR="000C53C2" w:rsidRPr="00AA2347" w:rsidRDefault="000C53C2" w:rsidP="009B5ED1">
            <w:pPr>
              <w:spacing w:line="360" w:lineRule="auto"/>
              <w:jc w:val="center"/>
              <w:rPr>
                <w:sz w:val="22"/>
                <w:szCs w:val="22"/>
                <w:lang w:val="en-US"/>
              </w:rPr>
            </w:pPr>
            <w:r w:rsidRPr="00AA2347">
              <w:rPr>
                <w:sz w:val="22"/>
                <w:szCs w:val="22"/>
                <w:lang w:val="en-US"/>
              </w:rPr>
              <w:t>8697.12</w:t>
            </w:r>
          </w:p>
        </w:tc>
        <w:tc>
          <w:tcPr>
            <w:tcW w:w="1515" w:type="dxa"/>
          </w:tcPr>
          <w:p w:rsidR="000C53C2" w:rsidRPr="00AA2347" w:rsidRDefault="000C53C2" w:rsidP="009B5ED1">
            <w:pPr>
              <w:spacing w:line="360" w:lineRule="auto"/>
              <w:jc w:val="center"/>
              <w:rPr>
                <w:sz w:val="22"/>
                <w:szCs w:val="22"/>
                <w:lang w:val="en-US"/>
              </w:rPr>
            </w:pPr>
            <w:r w:rsidRPr="00AA2347">
              <w:rPr>
                <w:sz w:val="22"/>
                <w:szCs w:val="22"/>
                <w:lang w:val="en-US"/>
              </w:rPr>
              <w:t>8693.53</w:t>
            </w:r>
          </w:p>
        </w:tc>
        <w:tc>
          <w:tcPr>
            <w:tcW w:w="1365" w:type="dxa"/>
          </w:tcPr>
          <w:p w:rsidR="000C53C2" w:rsidRPr="00AA2347" w:rsidRDefault="000C53C2" w:rsidP="009B5ED1">
            <w:pPr>
              <w:spacing w:line="360" w:lineRule="auto"/>
              <w:jc w:val="center"/>
              <w:rPr>
                <w:sz w:val="22"/>
                <w:szCs w:val="22"/>
                <w:lang w:val="en-US"/>
              </w:rPr>
            </w:pPr>
            <w:r w:rsidRPr="00AA2347">
              <w:rPr>
                <w:sz w:val="22"/>
                <w:szCs w:val="22"/>
                <w:lang w:val="en-US"/>
              </w:rPr>
              <w:t>8654.92</w:t>
            </w:r>
          </w:p>
        </w:tc>
        <w:tc>
          <w:tcPr>
            <w:tcW w:w="1368" w:type="dxa"/>
          </w:tcPr>
          <w:p w:rsidR="000C53C2" w:rsidRPr="00AA2347" w:rsidRDefault="000C53C2" w:rsidP="009B5ED1">
            <w:pPr>
              <w:jc w:val="center"/>
              <w:rPr>
                <w:sz w:val="22"/>
                <w:szCs w:val="22"/>
                <w:lang w:val="en-US"/>
              </w:rPr>
            </w:pPr>
            <w:r w:rsidRPr="00AA2347">
              <w:rPr>
                <w:sz w:val="22"/>
                <w:szCs w:val="22"/>
                <w:lang w:val="en-US"/>
              </w:rPr>
              <w:t>8639.02</w:t>
            </w:r>
          </w:p>
        </w:tc>
      </w:tr>
      <w:tr w:rsidR="000C53C2" w:rsidRPr="00AA2347" w:rsidTr="009B5ED1">
        <w:trPr>
          <w:trHeight w:val="351"/>
        </w:trPr>
        <w:tc>
          <w:tcPr>
            <w:tcW w:w="2520" w:type="dxa"/>
            <w:gridSpan w:val="2"/>
          </w:tcPr>
          <w:p w:rsidR="000C53C2" w:rsidRPr="00AA2347" w:rsidRDefault="000C53C2" w:rsidP="009B5ED1">
            <w:pPr>
              <w:rPr>
                <w:sz w:val="22"/>
                <w:szCs w:val="22"/>
                <w:lang w:val="en-US"/>
              </w:rPr>
            </w:pPr>
            <w:r w:rsidRPr="00AA2347">
              <w:rPr>
                <w:sz w:val="22"/>
                <w:szCs w:val="22"/>
                <w:lang w:val="en-US"/>
              </w:rPr>
              <w:t>K</w:t>
            </w:r>
          </w:p>
        </w:tc>
        <w:tc>
          <w:tcPr>
            <w:tcW w:w="1350" w:type="dxa"/>
          </w:tcPr>
          <w:p w:rsidR="000C53C2" w:rsidRPr="00AA2347" w:rsidRDefault="000C53C2" w:rsidP="009B5ED1">
            <w:pPr>
              <w:jc w:val="center"/>
              <w:rPr>
                <w:sz w:val="22"/>
                <w:szCs w:val="22"/>
                <w:lang w:val="en-US"/>
              </w:rPr>
            </w:pPr>
            <w:r w:rsidRPr="00AA2347">
              <w:rPr>
                <w:sz w:val="22"/>
                <w:szCs w:val="22"/>
                <w:lang w:val="en-US"/>
              </w:rPr>
              <w:t>2</w:t>
            </w:r>
          </w:p>
        </w:tc>
        <w:tc>
          <w:tcPr>
            <w:tcW w:w="1530" w:type="dxa"/>
          </w:tcPr>
          <w:p w:rsidR="000C53C2" w:rsidRPr="00AA2347" w:rsidRDefault="000C53C2" w:rsidP="009B5ED1">
            <w:pPr>
              <w:jc w:val="center"/>
              <w:rPr>
                <w:sz w:val="22"/>
                <w:szCs w:val="22"/>
                <w:lang w:val="en-US"/>
              </w:rPr>
            </w:pPr>
            <w:r w:rsidRPr="00AA2347">
              <w:rPr>
                <w:sz w:val="22"/>
                <w:szCs w:val="22"/>
                <w:lang w:val="en-US"/>
              </w:rPr>
              <w:t>3</w:t>
            </w:r>
          </w:p>
        </w:tc>
        <w:tc>
          <w:tcPr>
            <w:tcW w:w="1515" w:type="dxa"/>
          </w:tcPr>
          <w:p w:rsidR="000C53C2" w:rsidRPr="00AA2347" w:rsidRDefault="000C53C2" w:rsidP="009B5ED1">
            <w:pPr>
              <w:jc w:val="center"/>
              <w:rPr>
                <w:sz w:val="22"/>
                <w:szCs w:val="22"/>
                <w:lang w:val="en-US"/>
              </w:rPr>
            </w:pPr>
            <w:r w:rsidRPr="00AA2347">
              <w:rPr>
                <w:sz w:val="22"/>
                <w:szCs w:val="22"/>
                <w:lang w:val="en-US"/>
              </w:rPr>
              <w:t>4</w:t>
            </w:r>
          </w:p>
        </w:tc>
        <w:tc>
          <w:tcPr>
            <w:tcW w:w="1365" w:type="dxa"/>
          </w:tcPr>
          <w:p w:rsidR="000C53C2" w:rsidRPr="00AA2347" w:rsidRDefault="000C53C2" w:rsidP="009B5ED1">
            <w:pPr>
              <w:jc w:val="center"/>
              <w:rPr>
                <w:sz w:val="22"/>
                <w:szCs w:val="22"/>
                <w:lang w:val="en-US"/>
              </w:rPr>
            </w:pPr>
            <w:r w:rsidRPr="00AA2347">
              <w:rPr>
                <w:sz w:val="22"/>
                <w:szCs w:val="22"/>
                <w:lang w:val="en-US"/>
              </w:rPr>
              <w:t>6</w:t>
            </w:r>
          </w:p>
        </w:tc>
        <w:tc>
          <w:tcPr>
            <w:tcW w:w="1368" w:type="dxa"/>
          </w:tcPr>
          <w:p w:rsidR="000C53C2" w:rsidRPr="00AA2347" w:rsidRDefault="000C53C2" w:rsidP="009B5ED1">
            <w:pPr>
              <w:jc w:val="center"/>
              <w:rPr>
                <w:sz w:val="22"/>
                <w:szCs w:val="22"/>
                <w:lang w:val="en-US"/>
              </w:rPr>
            </w:pPr>
            <w:r w:rsidRPr="00AA2347">
              <w:rPr>
                <w:sz w:val="22"/>
                <w:szCs w:val="22"/>
                <w:lang w:val="en-US"/>
              </w:rPr>
              <w:t>9</w:t>
            </w:r>
          </w:p>
        </w:tc>
      </w:tr>
      <w:tr w:rsidR="000C53C2" w:rsidRPr="00AA2347" w:rsidTr="009B5ED1">
        <w:trPr>
          <w:trHeight w:val="450"/>
        </w:trPr>
        <w:tc>
          <w:tcPr>
            <w:tcW w:w="2520" w:type="dxa"/>
            <w:gridSpan w:val="2"/>
          </w:tcPr>
          <w:p w:rsidR="000C53C2" w:rsidRPr="00AA2347" w:rsidRDefault="000C53C2" w:rsidP="009B5ED1">
            <w:pPr>
              <w:rPr>
                <w:sz w:val="22"/>
                <w:szCs w:val="22"/>
                <w:lang w:val="en-US"/>
              </w:rPr>
            </w:pPr>
            <w:r w:rsidRPr="00AA2347">
              <w:rPr>
                <w:sz w:val="22"/>
                <w:szCs w:val="22"/>
                <w:lang w:val="en-US"/>
              </w:rPr>
              <w:t>AIC (-2LL+2K)</w:t>
            </w:r>
          </w:p>
        </w:tc>
        <w:tc>
          <w:tcPr>
            <w:tcW w:w="1350" w:type="dxa"/>
          </w:tcPr>
          <w:p w:rsidR="000C53C2" w:rsidRPr="00AA2347" w:rsidRDefault="000C53C2" w:rsidP="009B5ED1">
            <w:pPr>
              <w:jc w:val="center"/>
              <w:rPr>
                <w:sz w:val="22"/>
                <w:szCs w:val="22"/>
                <w:lang w:val="en-US"/>
              </w:rPr>
            </w:pPr>
            <w:r w:rsidRPr="00AA2347">
              <w:rPr>
                <w:sz w:val="22"/>
                <w:szCs w:val="22"/>
                <w:lang w:val="en-US"/>
              </w:rPr>
              <w:t>9,143.17</w:t>
            </w:r>
          </w:p>
        </w:tc>
        <w:tc>
          <w:tcPr>
            <w:tcW w:w="1530" w:type="dxa"/>
          </w:tcPr>
          <w:p w:rsidR="000C53C2" w:rsidRPr="00AA2347" w:rsidRDefault="000C53C2" w:rsidP="009B5ED1">
            <w:pPr>
              <w:jc w:val="center"/>
              <w:rPr>
                <w:sz w:val="22"/>
                <w:szCs w:val="22"/>
                <w:lang w:val="en-US"/>
              </w:rPr>
            </w:pPr>
            <w:r w:rsidRPr="00AA2347">
              <w:rPr>
                <w:sz w:val="22"/>
                <w:szCs w:val="22"/>
                <w:lang w:val="en-US"/>
              </w:rPr>
              <w:t>8703.12</w:t>
            </w:r>
          </w:p>
        </w:tc>
        <w:tc>
          <w:tcPr>
            <w:tcW w:w="1515" w:type="dxa"/>
          </w:tcPr>
          <w:p w:rsidR="000C53C2" w:rsidRPr="00AA2347" w:rsidRDefault="000C53C2" w:rsidP="009B5ED1">
            <w:pPr>
              <w:jc w:val="center"/>
              <w:rPr>
                <w:sz w:val="22"/>
                <w:szCs w:val="22"/>
                <w:lang w:val="en-US"/>
              </w:rPr>
            </w:pPr>
            <w:r w:rsidRPr="00AA2347">
              <w:rPr>
                <w:sz w:val="22"/>
                <w:szCs w:val="22"/>
                <w:lang w:val="en-US"/>
              </w:rPr>
              <w:t>8701.53</w:t>
            </w:r>
          </w:p>
        </w:tc>
        <w:tc>
          <w:tcPr>
            <w:tcW w:w="1365" w:type="dxa"/>
          </w:tcPr>
          <w:p w:rsidR="000C53C2" w:rsidRPr="00AA2347" w:rsidRDefault="000C53C2" w:rsidP="009B5ED1">
            <w:pPr>
              <w:jc w:val="center"/>
              <w:rPr>
                <w:sz w:val="22"/>
                <w:szCs w:val="22"/>
                <w:lang w:val="en-US"/>
              </w:rPr>
            </w:pPr>
            <w:r w:rsidRPr="00AA2347">
              <w:rPr>
                <w:sz w:val="22"/>
                <w:szCs w:val="22"/>
                <w:lang w:val="en-US"/>
              </w:rPr>
              <w:t>8666.92</w:t>
            </w:r>
          </w:p>
        </w:tc>
        <w:tc>
          <w:tcPr>
            <w:tcW w:w="1368" w:type="dxa"/>
          </w:tcPr>
          <w:p w:rsidR="000C53C2" w:rsidRPr="00AA2347" w:rsidRDefault="000C53C2" w:rsidP="009B5ED1">
            <w:pPr>
              <w:jc w:val="center"/>
              <w:rPr>
                <w:sz w:val="22"/>
                <w:szCs w:val="22"/>
                <w:lang w:val="en-US"/>
              </w:rPr>
            </w:pPr>
            <w:r w:rsidRPr="00AA2347">
              <w:rPr>
                <w:sz w:val="22"/>
                <w:szCs w:val="22"/>
                <w:lang w:val="en-US"/>
              </w:rPr>
              <w:t>8657.02</w:t>
            </w:r>
          </w:p>
        </w:tc>
      </w:tr>
      <w:tr w:rsidR="000C53C2" w:rsidRPr="00AA2347" w:rsidTr="009B5ED1">
        <w:trPr>
          <w:trHeight w:val="720"/>
        </w:trPr>
        <w:tc>
          <w:tcPr>
            <w:tcW w:w="2520" w:type="dxa"/>
            <w:gridSpan w:val="2"/>
          </w:tcPr>
          <w:p w:rsidR="000C53C2" w:rsidRPr="00AA2347" w:rsidRDefault="000C53C2" w:rsidP="009B5ED1">
            <w:pPr>
              <w:rPr>
                <w:sz w:val="22"/>
                <w:szCs w:val="22"/>
                <w:lang w:val="en-US"/>
              </w:rPr>
            </w:pPr>
            <w:r w:rsidRPr="00AA2347">
              <w:rPr>
                <w:sz w:val="22"/>
                <w:szCs w:val="22"/>
                <w:lang w:val="en-US"/>
              </w:rPr>
              <w:t xml:space="preserve">Change </w:t>
            </w:r>
          </w:p>
          <w:p w:rsidR="000C53C2" w:rsidRPr="00AA2347" w:rsidRDefault="000C53C2" w:rsidP="009B5ED1">
            <w:pPr>
              <w:rPr>
                <w:sz w:val="22"/>
                <w:szCs w:val="22"/>
                <w:lang w:val="en-US"/>
              </w:rPr>
            </w:pPr>
            <w:r w:rsidRPr="00AA2347">
              <w:rPr>
                <w:sz w:val="22"/>
                <w:szCs w:val="22"/>
                <w:lang w:val="en-US"/>
              </w:rPr>
              <w:t>(comparison model)</w:t>
            </w:r>
          </w:p>
        </w:tc>
        <w:tc>
          <w:tcPr>
            <w:tcW w:w="1350" w:type="dxa"/>
          </w:tcPr>
          <w:p w:rsidR="000C53C2" w:rsidRPr="00AA2347" w:rsidRDefault="000C53C2" w:rsidP="009B5ED1">
            <w:pPr>
              <w:jc w:val="center"/>
              <w:rPr>
                <w:sz w:val="22"/>
                <w:szCs w:val="22"/>
                <w:lang w:val="en-US"/>
              </w:rPr>
            </w:pPr>
          </w:p>
        </w:tc>
        <w:tc>
          <w:tcPr>
            <w:tcW w:w="1530" w:type="dxa"/>
          </w:tcPr>
          <w:p w:rsidR="000C53C2" w:rsidRPr="00AA2347" w:rsidRDefault="000C53C2" w:rsidP="009B5ED1">
            <w:pPr>
              <w:jc w:val="center"/>
              <w:rPr>
                <w:sz w:val="22"/>
                <w:szCs w:val="22"/>
                <w:lang w:val="en-US"/>
              </w:rPr>
            </w:pPr>
            <w:r w:rsidRPr="00AA2347">
              <w:rPr>
                <w:sz w:val="22"/>
                <w:szCs w:val="22"/>
                <w:lang w:val="en-US"/>
              </w:rPr>
              <w:t>-440.05</w:t>
            </w:r>
          </w:p>
          <w:p w:rsidR="000C53C2" w:rsidRPr="00AA2347" w:rsidRDefault="000C53C2" w:rsidP="009B5ED1">
            <w:pPr>
              <w:jc w:val="center"/>
              <w:rPr>
                <w:sz w:val="22"/>
                <w:szCs w:val="22"/>
                <w:lang w:val="en-US"/>
              </w:rPr>
            </w:pPr>
            <w:r w:rsidRPr="00AA2347">
              <w:rPr>
                <w:sz w:val="22"/>
                <w:szCs w:val="22"/>
                <w:lang w:val="en-US"/>
              </w:rPr>
              <w:t>(Model 1)</w:t>
            </w:r>
          </w:p>
        </w:tc>
        <w:tc>
          <w:tcPr>
            <w:tcW w:w="1515" w:type="dxa"/>
          </w:tcPr>
          <w:p w:rsidR="000C53C2" w:rsidRPr="00AA2347" w:rsidRDefault="000C53C2" w:rsidP="009B5ED1">
            <w:pPr>
              <w:jc w:val="center"/>
              <w:rPr>
                <w:sz w:val="22"/>
                <w:szCs w:val="22"/>
                <w:lang w:val="en-US"/>
              </w:rPr>
            </w:pPr>
            <w:r w:rsidRPr="00AA2347">
              <w:rPr>
                <w:sz w:val="22"/>
                <w:szCs w:val="22"/>
                <w:lang w:val="en-US"/>
              </w:rPr>
              <w:t>-1.59</w:t>
            </w:r>
          </w:p>
          <w:p w:rsidR="000C53C2" w:rsidRPr="00AA2347" w:rsidRDefault="000C53C2" w:rsidP="009B5ED1">
            <w:pPr>
              <w:jc w:val="center"/>
              <w:rPr>
                <w:sz w:val="22"/>
                <w:szCs w:val="22"/>
                <w:lang w:val="en-US"/>
              </w:rPr>
            </w:pPr>
            <w:r w:rsidRPr="00AA2347">
              <w:rPr>
                <w:sz w:val="22"/>
                <w:szCs w:val="22"/>
                <w:lang w:val="en-US"/>
              </w:rPr>
              <w:t>(Model 2)</w:t>
            </w:r>
          </w:p>
        </w:tc>
        <w:tc>
          <w:tcPr>
            <w:tcW w:w="1365" w:type="dxa"/>
          </w:tcPr>
          <w:p w:rsidR="000C53C2" w:rsidRPr="00AA2347" w:rsidRDefault="000C53C2" w:rsidP="009B5ED1">
            <w:pPr>
              <w:jc w:val="center"/>
              <w:rPr>
                <w:sz w:val="22"/>
                <w:szCs w:val="22"/>
                <w:lang w:val="en-US"/>
              </w:rPr>
            </w:pPr>
            <w:r w:rsidRPr="00AA2347">
              <w:rPr>
                <w:sz w:val="22"/>
                <w:szCs w:val="22"/>
                <w:lang w:val="en-US"/>
              </w:rPr>
              <w:t>-36.20</w:t>
            </w:r>
          </w:p>
          <w:p w:rsidR="000C53C2" w:rsidRPr="00AA2347" w:rsidRDefault="000C53C2" w:rsidP="009B5ED1">
            <w:pPr>
              <w:jc w:val="center"/>
              <w:rPr>
                <w:sz w:val="22"/>
                <w:szCs w:val="22"/>
                <w:lang w:val="en-US"/>
              </w:rPr>
            </w:pPr>
            <w:r w:rsidRPr="00AA2347">
              <w:rPr>
                <w:sz w:val="22"/>
                <w:szCs w:val="22"/>
                <w:lang w:val="en-US"/>
              </w:rPr>
              <w:t>(Model 2)</w:t>
            </w:r>
          </w:p>
        </w:tc>
        <w:tc>
          <w:tcPr>
            <w:tcW w:w="1368" w:type="dxa"/>
          </w:tcPr>
          <w:p w:rsidR="000C53C2" w:rsidRPr="00AA2347" w:rsidRDefault="000C53C2" w:rsidP="009B5ED1">
            <w:pPr>
              <w:jc w:val="center"/>
              <w:rPr>
                <w:sz w:val="22"/>
                <w:szCs w:val="22"/>
                <w:lang w:val="en-US"/>
              </w:rPr>
            </w:pPr>
            <w:r w:rsidRPr="00AA2347">
              <w:rPr>
                <w:sz w:val="22"/>
                <w:szCs w:val="22"/>
                <w:lang w:val="en-US"/>
              </w:rPr>
              <w:t>-9.90</w:t>
            </w:r>
          </w:p>
          <w:p w:rsidR="000C53C2" w:rsidRPr="00AA2347" w:rsidRDefault="000C53C2" w:rsidP="009B5ED1">
            <w:pPr>
              <w:jc w:val="center"/>
              <w:rPr>
                <w:sz w:val="22"/>
                <w:szCs w:val="22"/>
                <w:lang w:val="en-US"/>
              </w:rPr>
            </w:pPr>
            <w:r w:rsidRPr="00AA2347">
              <w:rPr>
                <w:sz w:val="22"/>
                <w:szCs w:val="22"/>
                <w:lang w:val="en-US"/>
              </w:rPr>
              <w:t>(Model 4)</w:t>
            </w:r>
          </w:p>
        </w:tc>
      </w:tr>
      <w:tr w:rsidR="000C53C2" w:rsidRPr="00AA2347" w:rsidTr="009B5ED1">
        <w:tc>
          <w:tcPr>
            <w:tcW w:w="2520" w:type="dxa"/>
            <w:gridSpan w:val="2"/>
          </w:tcPr>
          <w:p w:rsidR="000C53C2" w:rsidRPr="00AA2347" w:rsidRDefault="000C53C2" w:rsidP="009B5ED1">
            <w:pPr>
              <w:rPr>
                <w:sz w:val="22"/>
                <w:szCs w:val="22"/>
                <w:lang w:val="en-US"/>
              </w:rPr>
            </w:pPr>
            <w:r w:rsidRPr="00AA2347">
              <w:rPr>
                <w:sz w:val="22"/>
                <w:szCs w:val="22"/>
                <w:lang w:val="en-US"/>
              </w:rPr>
              <w:t>BIC (-2LL+K*[6.673])</w:t>
            </w:r>
          </w:p>
        </w:tc>
        <w:tc>
          <w:tcPr>
            <w:tcW w:w="1350" w:type="dxa"/>
          </w:tcPr>
          <w:p w:rsidR="000C53C2" w:rsidRPr="00AA2347" w:rsidRDefault="000C53C2" w:rsidP="009B5ED1">
            <w:pPr>
              <w:jc w:val="center"/>
              <w:rPr>
                <w:sz w:val="22"/>
                <w:szCs w:val="22"/>
                <w:lang w:val="en-US"/>
              </w:rPr>
            </w:pPr>
            <w:r w:rsidRPr="00AA2347">
              <w:rPr>
                <w:sz w:val="22"/>
                <w:szCs w:val="22"/>
                <w:lang w:val="en-US"/>
              </w:rPr>
              <w:t>9,152.51</w:t>
            </w:r>
          </w:p>
        </w:tc>
        <w:tc>
          <w:tcPr>
            <w:tcW w:w="1530" w:type="dxa"/>
          </w:tcPr>
          <w:p w:rsidR="000C53C2" w:rsidRPr="00AA2347" w:rsidRDefault="000C53C2" w:rsidP="009B5ED1">
            <w:pPr>
              <w:jc w:val="center"/>
              <w:rPr>
                <w:sz w:val="22"/>
                <w:szCs w:val="22"/>
                <w:lang w:val="en-US"/>
              </w:rPr>
            </w:pPr>
            <w:r w:rsidRPr="00AA2347">
              <w:rPr>
                <w:sz w:val="22"/>
                <w:szCs w:val="22"/>
                <w:lang w:val="en-US"/>
              </w:rPr>
              <w:t>8717.14</w:t>
            </w:r>
          </w:p>
        </w:tc>
        <w:tc>
          <w:tcPr>
            <w:tcW w:w="1515" w:type="dxa"/>
          </w:tcPr>
          <w:p w:rsidR="000C53C2" w:rsidRPr="00AA2347" w:rsidRDefault="000C53C2" w:rsidP="009B5ED1">
            <w:pPr>
              <w:jc w:val="center"/>
              <w:rPr>
                <w:sz w:val="22"/>
                <w:szCs w:val="22"/>
                <w:lang w:val="en-US"/>
              </w:rPr>
            </w:pPr>
            <w:r w:rsidRPr="00AA2347">
              <w:rPr>
                <w:sz w:val="22"/>
                <w:szCs w:val="22"/>
                <w:lang w:val="en-US"/>
              </w:rPr>
              <w:t>8720.23</w:t>
            </w:r>
          </w:p>
        </w:tc>
        <w:tc>
          <w:tcPr>
            <w:tcW w:w="1365" w:type="dxa"/>
          </w:tcPr>
          <w:p w:rsidR="000C53C2" w:rsidRPr="00AA2347" w:rsidRDefault="000C53C2" w:rsidP="009B5ED1">
            <w:pPr>
              <w:jc w:val="center"/>
              <w:rPr>
                <w:sz w:val="22"/>
                <w:szCs w:val="22"/>
                <w:lang w:val="en-US"/>
              </w:rPr>
            </w:pPr>
            <w:r w:rsidRPr="00AA2347">
              <w:rPr>
                <w:sz w:val="22"/>
                <w:szCs w:val="22"/>
                <w:lang w:val="en-US"/>
              </w:rPr>
              <w:t>8694.94</w:t>
            </w:r>
          </w:p>
        </w:tc>
        <w:tc>
          <w:tcPr>
            <w:tcW w:w="1368" w:type="dxa"/>
          </w:tcPr>
          <w:p w:rsidR="000C53C2" w:rsidRPr="00AA2347" w:rsidRDefault="000C53C2" w:rsidP="009B5ED1">
            <w:pPr>
              <w:jc w:val="center"/>
              <w:rPr>
                <w:sz w:val="22"/>
                <w:szCs w:val="22"/>
                <w:lang w:val="en-US"/>
              </w:rPr>
            </w:pPr>
            <w:r w:rsidRPr="00AA2347">
              <w:rPr>
                <w:sz w:val="22"/>
                <w:szCs w:val="22"/>
                <w:lang w:val="en-US"/>
              </w:rPr>
              <w:t>8699.08</w:t>
            </w:r>
          </w:p>
          <w:p w:rsidR="000C53C2" w:rsidRPr="00AA2347" w:rsidRDefault="000C53C2" w:rsidP="009B5ED1">
            <w:pPr>
              <w:jc w:val="center"/>
              <w:rPr>
                <w:sz w:val="22"/>
                <w:szCs w:val="22"/>
                <w:lang w:val="en-US"/>
              </w:rPr>
            </w:pPr>
          </w:p>
        </w:tc>
      </w:tr>
      <w:tr w:rsidR="000C53C2" w:rsidRPr="00AA2347" w:rsidTr="009B5ED1">
        <w:tc>
          <w:tcPr>
            <w:tcW w:w="2520" w:type="dxa"/>
            <w:gridSpan w:val="2"/>
          </w:tcPr>
          <w:p w:rsidR="000C53C2" w:rsidRPr="00AA2347" w:rsidRDefault="000C53C2" w:rsidP="009B5ED1">
            <w:pPr>
              <w:rPr>
                <w:sz w:val="22"/>
                <w:szCs w:val="22"/>
                <w:lang w:val="en-US"/>
              </w:rPr>
            </w:pPr>
            <w:r w:rsidRPr="00AA2347">
              <w:rPr>
                <w:sz w:val="22"/>
                <w:szCs w:val="22"/>
                <w:lang w:val="en-US"/>
              </w:rPr>
              <w:t>Change</w:t>
            </w:r>
          </w:p>
          <w:p w:rsidR="000C53C2" w:rsidRPr="00AA2347" w:rsidRDefault="000C53C2" w:rsidP="009B5ED1">
            <w:pPr>
              <w:rPr>
                <w:sz w:val="22"/>
                <w:szCs w:val="22"/>
                <w:lang w:val="en-US"/>
              </w:rPr>
            </w:pPr>
            <w:r w:rsidRPr="00AA2347">
              <w:rPr>
                <w:sz w:val="22"/>
                <w:szCs w:val="22"/>
                <w:lang w:val="en-US"/>
              </w:rPr>
              <w:t>(comparison model)</w:t>
            </w:r>
          </w:p>
          <w:p w:rsidR="000C53C2" w:rsidRPr="00AA2347" w:rsidRDefault="000C53C2" w:rsidP="009B5ED1">
            <w:pPr>
              <w:rPr>
                <w:sz w:val="22"/>
                <w:szCs w:val="22"/>
                <w:lang w:val="en-US"/>
              </w:rPr>
            </w:pPr>
          </w:p>
        </w:tc>
        <w:tc>
          <w:tcPr>
            <w:tcW w:w="1350" w:type="dxa"/>
          </w:tcPr>
          <w:p w:rsidR="000C53C2" w:rsidRPr="00AA2347" w:rsidRDefault="000C53C2" w:rsidP="009B5ED1">
            <w:pPr>
              <w:jc w:val="center"/>
              <w:rPr>
                <w:sz w:val="22"/>
                <w:szCs w:val="22"/>
                <w:lang w:val="en-US"/>
              </w:rPr>
            </w:pPr>
          </w:p>
        </w:tc>
        <w:tc>
          <w:tcPr>
            <w:tcW w:w="1530" w:type="dxa"/>
          </w:tcPr>
          <w:p w:rsidR="000C53C2" w:rsidRPr="00AA2347" w:rsidRDefault="000C53C2" w:rsidP="009B5ED1">
            <w:pPr>
              <w:jc w:val="center"/>
              <w:rPr>
                <w:sz w:val="22"/>
                <w:szCs w:val="22"/>
                <w:lang w:val="en-US"/>
              </w:rPr>
            </w:pPr>
            <w:r w:rsidRPr="00AA2347">
              <w:rPr>
                <w:sz w:val="22"/>
                <w:szCs w:val="22"/>
                <w:lang w:val="en-US"/>
              </w:rPr>
              <w:t>-435.37</w:t>
            </w:r>
          </w:p>
          <w:p w:rsidR="000C53C2" w:rsidRPr="00AA2347" w:rsidRDefault="000C53C2" w:rsidP="009B5ED1">
            <w:pPr>
              <w:jc w:val="center"/>
              <w:rPr>
                <w:sz w:val="22"/>
                <w:szCs w:val="22"/>
                <w:lang w:val="en-US"/>
              </w:rPr>
            </w:pPr>
            <w:r w:rsidRPr="00AA2347">
              <w:rPr>
                <w:sz w:val="22"/>
                <w:szCs w:val="22"/>
                <w:lang w:val="en-US"/>
              </w:rPr>
              <w:t>(Model 1)</w:t>
            </w:r>
          </w:p>
        </w:tc>
        <w:tc>
          <w:tcPr>
            <w:tcW w:w="1515" w:type="dxa"/>
          </w:tcPr>
          <w:p w:rsidR="000C53C2" w:rsidRPr="00AA2347" w:rsidRDefault="000C53C2" w:rsidP="009B5ED1">
            <w:pPr>
              <w:jc w:val="center"/>
              <w:rPr>
                <w:sz w:val="22"/>
                <w:szCs w:val="22"/>
                <w:lang w:val="en-US"/>
              </w:rPr>
            </w:pPr>
            <w:r w:rsidRPr="00AA2347">
              <w:rPr>
                <w:sz w:val="22"/>
                <w:szCs w:val="22"/>
                <w:lang w:val="en-US"/>
              </w:rPr>
              <w:t>+3.08</w:t>
            </w:r>
          </w:p>
          <w:p w:rsidR="000C53C2" w:rsidRPr="00AA2347" w:rsidRDefault="000C53C2" w:rsidP="009B5ED1">
            <w:pPr>
              <w:jc w:val="center"/>
              <w:rPr>
                <w:sz w:val="22"/>
                <w:szCs w:val="22"/>
                <w:lang w:val="en-US"/>
              </w:rPr>
            </w:pPr>
            <w:r w:rsidRPr="00AA2347">
              <w:rPr>
                <w:sz w:val="22"/>
                <w:szCs w:val="22"/>
                <w:lang w:val="en-US"/>
              </w:rPr>
              <w:t>(Model 2)</w:t>
            </w:r>
          </w:p>
        </w:tc>
        <w:tc>
          <w:tcPr>
            <w:tcW w:w="1365" w:type="dxa"/>
          </w:tcPr>
          <w:p w:rsidR="000C53C2" w:rsidRPr="00AA2347" w:rsidRDefault="000C53C2" w:rsidP="009B5ED1">
            <w:pPr>
              <w:jc w:val="center"/>
              <w:rPr>
                <w:sz w:val="22"/>
                <w:szCs w:val="22"/>
                <w:lang w:val="en-US"/>
              </w:rPr>
            </w:pPr>
            <w:r w:rsidRPr="00AA2347">
              <w:rPr>
                <w:sz w:val="22"/>
                <w:szCs w:val="22"/>
                <w:lang w:val="en-US"/>
              </w:rPr>
              <w:t>-22.2</w:t>
            </w:r>
          </w:p>
          <w:p w:rsidR="000C53C2" w:rsidRPr="00AA2347" w:rsidRDefault="000C53C2" w:rsidP="009B5ED1">
            <w:pPr>
              <w:jc w:val="center"/>
              <w:rPr>
                <w:sz w:val="22"/>
                <w:szCs w:val="22"/>
                <w:lang w:val="en-US"/>
              </w:rPr>
            </w:pPr>
            <w:r w:rsidRPr="00AA2347">
              <w:rPr>
                <w:sz w:val="22"/>
                <w:szCs w:val="22"/>
                <w:lang w:val="en-US"/>
              </w:rPr>
              <w:t>(Model 2)</w:t>
            </w:r>
          </w:p>
        </w:tc>
        <w:tc>
          <w:tcPr>
            <w:tcW w:w="1368" w:type="dxa"/>
          </w:tcPr>
          <w:p w:rsidR="000C53C2" w:rsidRPr="00AA2347" w:rsidRDefault="000C53C2" w:rsidP="009B5ED1">
            <w:pPr>
              <w:jc w:val="center"/>
              <w:rPr>
                <w:sz w:val="22"/>
                <w:szCs w:val="22"/>
                <w:lang w:val="en-US"/>
              </w:rPr>
            </w:pPr>
            <w:r w:rsidRPr="00AA2347">
              <w:rPr>
                <w:sz w:val="22"/>
                <w:szCs w:val="22"/>
                <w:lang w:val="en-US"/>
              </w:rPr>
              <w:t>+4.14</w:t>
            </w:r>
          </w:p>
          <w:p w:rsidR="000C53C2" w:rsidRPr="00AA2347" w:rsidRDefault="000C53C2" w:rsidP="009B5ED1">
            <w:pPr>
              <w:jc w:val="center"/>
              <w:rPr>
                <w:sz w:val="22"/>
                <w:szCs w:val="22"/>
                <w:lang w:val="en-US"/>
              </w:rPr>
            </w:pPr>
            <w:r w:rsidRPr="00AA2347">
              <w:rPr>
                <w:sz w:val="22"/>
                <w:szCs w:val="22"/>
                <w:lang w:val="en-US"/>
              </w:rPr>
              <w:t>(Model 4</w:t>
            </w:r>
          </w:p>
        </w:tc>
      </w:tr>
      <w:tr w:rsidR="000C53C2" w:rsidRPr="00AA2347" w:rsidTr="009B5ED1">
        <w:tc>
          <w:tcPr>
            <w:tcW w:w="2520" w:type="dxa"/>
            <w:gridSpan w:val="2"/>
          </w:tcPr>
          <w:p w:rsidR="000C53C2" w:rsidRPr="00AA2347" w:rsidRDefault="000C53C2" w:rsidP="009B5ED1">
            <w:pPr>
              <w:rPr>
                <w:sz w:val="22"/>
                <w:szCs w:val="22"/>
                <w:lang w:val="en-US"/>
              </w:rPr>
            </w:pPr>
            <w:r w:rsidRPr="00AA2347">
              <w:rPr>
                <w:sz w:val="22"/>
                <w:szCs w:val="22"/>
                <w:lang w:val="en-US"/>
              </w:rPr>
              <w:t>Hosmer-Lemeshow χ</w:t>
            </w:r>
            <w:r w:rsidRPr="00AA2347">
              <w:rPr>
                <w:sz w:val="22"/>
                <w:szCs w:val="22"/>
                <w:vertAlign w:val="superscript"/>
                <w:lang w:val="en-US"/>
              </w:rPr>
              <w:t xml:space="preserve">2 </w:t>
            </w:r>
            <w:r w:rsidRPr="00AA2347">
              <w:rPr>
                <w:sz w:val="22"/>
                <w:szCs w:val="22"/>
                <w:lang w:val="en-US"/>
              </w:rPr>
              <w:t>(</w:t>
            </w:r>
            <w:r w:rsidRPr="00AA2347">
              <w:rPr>
                <w:i/>
                <w:sz w:val="22"/>
                <w:szCs w:val="22"/>
                <w:lang w:val="en-US"/>
              </w:rPr>
              <w:t>p</w:t>
            </w:r>
            <w:r w:rsidRPr="00AA2347">
              <w:rPr>
                <w:sz w:val="22"/>
                <w:szCs w:val="22"/>
                <w:lang w:val="en-US"/>
              </w:rPr>
              <w:t>)</w:t>
            </w:r>
          </w:p>
        </w:tc>
        <w:tc>
          <w:tcPr>
            <w:tcW w:w="1350" w:type="dxa"/>
          </w:tcPr>
          <w:p w:rsidR="000C53C2" w:rsidRPr="00AA2347" w:rsidRDefault="000C53C2" w:rsidP="009B5ED1">
            <w:pPr>
              <w:jc w:val="center"/>
              <w:rPr>
                <w:sz w:val="22"/>
                <w:szCs w:val="22"/>
                <w:lang w:val="en-US"/>
              </w:rPr>
            </w:pPr>
            <w:r w:rsidRPr="00AA2347">
              <w:rPr>
                <w:sz w:val="22"/>
                <w:szCs w:val="22"/>
                <w:lang w:val="en-US"/>
              </w:rPr>
              <w:t>15.24 (.055)</w:t>
            </w:r>
          </w:p>
        </w:tc>
        <w:tc>
          <w:tcPr>
            <w:tcW w:w="1530" w:type="dxa"/>
          </w:tcPr>
          <w:p w:rsidR="000C53C2" w:rsidRPr="00AA2347" w:rsidRDefault="000C53C2" w:rsidP="009B5ED1">
            <w:pPr>
              <w:jc w:val="center"/>
              <w:rPr>
                <w:sz w:val="22"/>
                <w:szCs w:val="22"/>
                <w:lang w:val="en-US"/>
              </w:rPr>
            </w:pPr>
            <w:r w:rsidRPr="00AA2347">
              <w:rPr>
                <w:sz w:val="22"/>
                <w:szCs w:val="22"/>
                <w:lang w:val="en-US"/>
              </w:rPr>
              <w:t>8.13 (.42)</w:t>
            </w:r>
          </w:p>
        </w:tc>
        <w:tc>
          <w:tcPr>
            <w:tcW w:w="1515" w:type="dxa"/>
          </w:tcPr>
          <w:p w:rsidR="000C53C2" w:rsidRPr="00AA2347" w:rsidRDefault="000C53C2" w:rsidP="009B5ED1">
            <w:pPr>
              <w:jc w:val="center"/>
              <w:rPr>
                <w:sz w:val="22"/>
                <w:szCs w:val="22"/>
                <w:lang w:val="en-US"/>
              </w:rPr>
            </w:pPr>
            <w:r w:rsidRPr="00AA2347">
              <w:rPr>
                <w:sz w:val="22"/>
                <w:szCs w:val="22"/>
                <w:lang w:val="en-US"/>
              </w:rPr>
              <w:t>8.06 (.43)</w:t>
            </w:r>
          </w:p>
        </w:tc>
        <w:tc>
          <w:tcPr>
            <w:tcW w:w="1365" w:type="dxa"/>
          </w:tcPr>
          <w:p w:rsidR="000C53C2" w:rsidRPr="00AA2347" w:rsidRDefault="000C53C2" w:rsidP="009B5ED1">
            <w:pPr>
              <w:jc w:val="center"/>
              <w:rPr>
                <w:sz w:val="22"/>
                <w:szCs w:val="22"/>
                <w:lang w:val="en-US"/>
              </w:rPr>
            </w:pPr>
            <w:r w:rsidRPr="00AA2347">
              <w:rPr>
                <w:sz w:val="22"/>
                <w:szCs w:val="22"/>
                <w:lang w:val="en-US"/>
              </w:rPr>
              <w:t>4.67 (.79)</w:t>
            </w:r>
          </w:p>
        </w:tc>
        <w:tc>
          <w:tcPr>
            <w:tcW w:w="1368" w:type="dxa"/>
          </w:tcPr>
          <w:p w:rsidR="000C53C2" w:rsidRPr="00AA2347" w:rsidRDefault="000C53C2" w:rsidP="009B5ED1">
            <w:pPr>
              <w:jc w:val="center"/>
              <w:rPr>
                <w:sz w:val="22"/>
                <w:szCs w:val="22"/>
                <w:lang w:val="en-US"/>
              </w:rPr>
            </w:pPr>
            <w:r w:rsidRPr="00AA2347">
              <w:rPr>
                <w:sz w:val="22"/>
                <w:szCs w:val="22"/>
                <w:lang w:val="en-US"/>
              </w:rPr>
              <w:t>4.75 (.78)</w:t>
            </w:r>
          </w:p>
          <w:p w:rsidR="000C53C2" w:rsidRPr="00AA2347" w:rsidRDefault="000C53C2" w:rsidP="009B5ED1">
            <w:pPr>
              <w:jc w:val="center"/>
              <w:rPr>
                <w:sz w:val="22"/>
                <w:szCs w:val="22"/>
                <w:lang w:val="en-US"/>
              </w:rPr>
            </w:pPr>
          </w:p>
        </w:tc>
      </w:tr>
      <w:tr w:rsidR="000C53C2" w:rsidRPr="00AA2347" w:rsidTr="009B5ED1">
        <w:tc>
          <w:tcPr>
            <w:tcW w:w="2520" w:type="dxa"/>
            <w:gridSpan w:val="2"/>
            <w:tcBorders>
              <w:bottom w:val="single" w:sz="4" w:space="0" w:color="auto"/>
            </w:tcBorders>
          </w:tcPr>
          <w:p w:rsidR="000C53C2" w:rsidRPr="00AA2347" w:rsidRDefault="000C53C2" w:rsidP="009B5ED1">
            <w:pPr>
              <w:rPr>
                <w:sz w:val="22"/>
                <w:szCs w:val="22"/>
                <w:lang w:val="en-US"/>
              </w:rPr>
            </w:pPr>
            <w:r w:rsidRPr="00AA2347">
              <w:rPr>
                <w:sz w:val="22"/>
                <w:szCs w:val="22"/>
                <w:lang w:val="en-US"/>
              </w:rPr>
              <w:t xml:space="preserve">AUC </w:t>
            </w:r>
          </w:p>
          <w:p w:rsidR="000C53C2" w:rsidRPr="00AA2347" w:rsidRDefault="000C53C2" w:rsidP="009B5ED1">
            <w:pPr>
              <w:rPr>
                <w:sz w:val="22"/>
                <w:szCs w:val="22"/>
                <w:lang w:val="en-US"/>
              </w:rPr>
            </w:pPr>
          </w:p>
        </w:tc>
        <w:tc>
          <w:tcPr>
            <w:tcW w:w="1350" w:type="dxa"/>
            <w:tcBorders>
              <w:bottom w:val="single" w:sz="4" w:space="0" w:color="auto"/>
            </w:tcBorders>
          </w:tcPr>
          <w:p w:rsidR="000C53C2" w:rsidRPr="00AA2347" w:rsidRDefault="000C53C2" w:rsidP="009B5ED1">
            <w:pPr>
              <w:jc w:val="center"/>
              <w:rPr>
                <w:sz w:val="22"/>
                <w:szCs w:val="22"/>
                <w:lang w:val="en-US"/>
              </w:rPr>
            </w:pPr>
            <w:r w:rsidRPr="00AA2347">
              <w:rPr>
                <w:sz w:val="22"/>
                <w:szCs w:val="22"/>
                <w:lang w:val="en-US"/>
              </w:rPr>
              <w:t>.637</w:t>
            </w:r>
          </w:p>
        </w:tc>
        <w:tc>
          <w:tcPr>
            <w:tcW w:w="1530" w:type="dxa"/>
            <w:tcBorders>
              <w:bottom w:val="single" w:sz="4" w:space="0" w:color="auto"/>
            </w:tcBorders>
          </w:tcPr>
          <w:p w:rsidR="000C53C2" w:rsidRPr="00AA2347" w:rsidRDefault="000C53C2" w:rsidP="009B5ED1">
            <w:pPr>
              <w:jc w:val="center"/>
              <w:rPr>
                <w:sz w:val="22"/>
                <w:szCs w:val="22"/>
                <w:lang w:val="en-US"/>
              </w:rPr>
            </w:pPr>
            <w:r w:rsidRPr="00AA2347">
              <w:rPr>
                <w:sz w:val="22"/>
                <w:szCs w:val="22"/>
                <w:lang w:val="en-US"/>
              </w:rPr>
              <w:t>.736</w:t>
            </w:r>
          </w:p>
        </w:tc>
        <w:tc>
          <w:tcPr>
            <w:tcW w:w="1515" w:type="dxa"/>
            <w:tcBorders>
              <w:bottom w:val="single" w:sz="4" w:space="0" w:color="auto"/>
            </w:tcBorders>
          </w:tcPr>
          <w:p w:rsidR="000C53C2" w:rsidRPr="00AA2347" w:rsidRDefault="000C53C2" w:rsidP="009B5ED1">
            <w:pPr>
              <w:jc w:val="center"/>
              <w:rPr>
                <w:sz w:val="22"/>
                <w:szCs w:val="22"/>
                <w:lang w:val="en-US"/>
              </w:rPr>
            </w:pPr>
            <w:r w:rsidRPr="00AA2347">
              <w:rPr>
                <w:sz w:val="22"/>
                <w:szCs w:val="22"/>
                <w:lang w:val="en-US"/>
              </w:rPr>
              <w:t>.736</w:t>
            </w:r>
          </w:p>
        </w:tc>
        <w:tc>
          <w:tcPr>
            <w:tcW w:w="1365" w:type="dxa"/>
            <w:tcBorders>
              <w:bottom w:val="single" w:sz="4" w:space="0" w:color="auto"/>
            </w:tcBorders>
          </w:tcPr>
          <w:p w:rsidR="000C53C2" w:rsidRPr="00AA2347" w:rsidRDefault="000C53C2" w:rsidP="009B5ED1">
            <w:pPr>
              <w:jc w:val="center"/>
              <w:rPr>
                <w:sz w:val="22"/>
                <w:szCs w:val="22"/>
                <w:lang w:val="en-US"/>
              </w:rPr>
            </w:pPr>
            <w:r w:rsidRPr="00AA2347">
              <w:rPr>
                <w:sz w:val="22"/>
                <w:szCs w:val="22"/>
                <w:lang w:val="en-US"/>
              </w:rPr>
              <w:t>.745</w:t>
            </w:r>
          </w:p>
        </w:tc>
        <w:tc>
          <w:tcPr>
            <w:tcW w:w="1368" w:type="dxa"/>
            <w:tcBorders>
              <w:bottom w:val="single" w:sz="4" w:space="0" w:color="auto"/>
            </w:tcBorders>
          </w:tcPr>
          <w:p w:rsidR="000C53C2" w:rsidRPr="00AA2347" w:rsidRDefault="000C53C2" w:rsidP="009B5ED1">
            <w:pPr>
              <w:jc w:val="center"/>
              <w:rPr>
                <w:sz w:val="22"/>
                <w:szCs w:val="22"/>
                <w:lang w:val="en-US"/>
              </w:rPr>
            </w:pPr>
            <w:r w:rsidRPr="00AA2347">
              <w:rPr>
                <w:sz w:val="22"/>
                <w:szCs w:val="22"/>
                <w:lang w:val="en-US"/>
              </w:rPr>
              <w:t>.747</w:t>
            </w:r>
          </w:p>
        </w:tc>
      </w:tr>
    </w:tbl>
    <w:p w:rsidR="000C53C2" w:rsidRPr="00AA2347" w:rsidRDefault="000C53C2" w:rsidP="000C53C2">
      <w:pPr>
        <w:rPr>
          <w:sz w:val="22"/>
          <w:szCs w:val="22"/>
          <w:lang w:val="en-US"/>
        </w:rPr>
      </w:pPr>
      <w:r w:rsidRPr="00AA2347">
        <w:rPr>
          <w:sz w:val="22"/>
          <w:szCs w:val="22"/>
          <w:lang w:val="en-US"/>
        </w:rPr>
        <w:t xml:space="preserve">Note: Static-99R scores centered on the median value (2). </w:t>
      </w:r>
      <w:r w:rsidRPr="00AA2347">
        <w:rPr>
          <w:sz w:val="22"/>
          <w:szCs w:val="22"/>
          <w:lang w:val="en-US"/>
        </w:rPr>
        <w:br w:type="page"/>
      </w:r>
    </w:p>
    <w:p w:rsidR="000C53C2" w:rsidRPr="00AA2347" w:rsidRDefault="000C53C2" w:rsidP="000C53C2">
      <w:pPr>
        <w:rPr>
          <w:sz w:val="22"/>
          <w:szCs w:val="22"/>
          <w:lang w:val="en-US"/>
        </w:rPr>
      </w:pPr>
      <w:r w:rsidRPr="00AA2347">
        <w:rPr>
          <w:sz w:val="22"/>
          <w:szCs w:val="22"/>
          <w:lang w:val="en-US"/>
        </w:rPr>
        <w:t>Table 5. Incremental Effect of Nonsexual Recidivism on 6 Month Hazard of Sexual Recidivism in Reduced Sample (</w:t>
      </w:r>
      <w:r w:rsidRPr="00AA2347">
        <w:rPr>
          <w:i/>
          <w:sz w:val="22"/>
          <w:szCs w:val="22"/>
          <w:lang w:val="en-US"/>
        </w:rPr>
        <w:t>k</w:t>
      </w:r>
      <w:r w:rsidRPr="00AA2347">
        <w:rPr>
          <w:sz w:val="22"/>
          <w:szCs w:val="22"/>
          <w:lang w:val="en-US"/>
        </w:rPr>
        <w:t xml:space="preserve"> = 13, </w:t>
      </w:r>
      <w:r w:rsidRPr="00AA2347">
        <w:rPr>
          <w:i/>
          <w:sz w:val="22"/>
          <w:szCs w:val="22"/>
          <w:lang w:val="en-US"/>
        </w:rPr>
        <w:t>n</w:t>
      </w:r>
      <w:r w:rsidRPr="00AA2347">
        <w:rPr>
          <w:sz w:val="22"/>
          <w:szCs w:val="22"/>
          <w:lang w:val="en-US"/>
        </w:rPr>
        <w:t xml:space="preserve"> = 4,078 With 318 Sexual Recidivists)</w:t>
      </w:r>
    </w:p>
    <w:p w:rsidR="000C53C2" w:rsidRPr="00AA2347" w:rsidRDefault="000C53C2" w:rsidP="000C53C2">
      <w:pPr>
        <w:rPr>
          <w:sz w:val="22"/>
          <w:szCs w:val="22"/>
          <w:lang w:val="en-US"/>
        </w:rPr>
      </w:pPr>
    </w:p>
    <w:tbl>
      <w:tblPr>
        <w:tblStyle w:val="TableGrid"/>
        <w:tblW w:w="0" w:type="auto"/>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180"/>
        <w:gridCol w:w="1350"/>
        <w:gridCol w:w="2610"/>
        <w:gridCol w:w="2696"/>
        <w:gridCol w:w="236"/>
        <w:gridCol w:w="236"/>
      </w:tblGrid>
      <w:tr w:rsidR="000C53C2" w:rsidRPr="00AA2347" w:rsidTr="009B5ED1">
        <w:tc>
          <w:tcPr>
            <w:tcW w:w="2340" w:type="dxa"/>
            <w:tcBorders>
              <w:top w:val="single" w:sz="4" w:space="0" w:color="auto"/>
            </w:tcBorders>
          </w:tcPr>
          <w:p w:rsidR="000C53C2" w:rsidRPr="00AA2347" w:rsidRDefault="000C53C2" w:rsidP="009B5ED1">
            <w:pPr>
              <w:rPr>
                <w:sz w:val="22"/>
                <w:szCs w:val="22"/>
                <w:lang w:val="en-US"/>
              </w:rPr>
            </w:pPr>
          </w:p>
        </w:tc>
        <w:tc>
          <w:tcPr>
            <w:tcW w:w="7308" w:type="dxa"/>
            <w:gridSpan w:val="6"/>
            <w:tcBorders>
              <w:top w:val="single" w:sz="4" w:space="0" w:color="auto"/>
            </w:tcBorders>
          </w:tcPr>
          <w:p w:rsidR="000C53C2" w:rsidRPr="00AA2347" w:rsidRDefault="000C53C2" w:rsidP="009B5ED1">
            <w:pPr>
              <w:pBdr>
                <w:bottom w:val="single" w:sz="4" w:space="1" w:color="auto"/>
              </w:pBdr>
              <w:jc w:val="center"/>
              <w:rPr>
                <w:sz w:val="22"/>
                <w:szCs w:val="22"/>
                <w:lang w:val="en-US"/>
              </w:rPr>
            </w:pPr>
            <w:r w:rsidRPr="00AA2347">
              <w:rPr>
                <w:sz w:val="22"/>
                <w:szCs w:val="22"/>
                <w:lang w:val="en-US"/>
              </w:rPr>
              <w:t>Models</w:t>
            </w:r>
          </w:p>
          <w:p w:rsidR="000C53C2" w:rsidRPr="00AA2347" w:rsidRDefault="000C53C2" w:rsidP="009B5ED1">
            <w:pPr>
              <w:jc w:val="center"/>
              <w:rPr>
                <w:sz w:val="22"/>
                <w:szCs w:val="22"/>
                <w:lang w:val="en-US"/>
              </w:rPr>
            </w:pPr>
          </w:p>
        </w:tc>
      </w:tr>
      <w:tr w:rsidR="000C53C2" w:rsidRPr="00AA2347" w:rsidTr="009B5ED1">
        <w:trPr>
          <w:trHeight w:val="153"/>
        </w:trPr>
        <w:tc>
          <w:tcPr>
            <w:tcW w:w="2340" w:type="dxa"/>
            <w:tcBorders>
              <w:bottom w:val="single" w:sz="4" w:space="0" w:color="auto"/>
            </w:tcBorders>
          </w:tcPr>
          <w:p w:rsidR="000C53C2" w:rsidRPr="00AA2347" w:rsidRDefault="000C53C2" w:rsidP="009B5ED1">
            <w:pPr>
              <w:rPr>
                <w:sz w:val="22"/>
                <w:szCs w:val="22"/>
                <w:lang w:val="en-US"/>
              </w:rPr>
            </w:pPr>
          </w:p>
        </w:tc>
        <w:tc>
          <w:tcPr>
            <w:tcW w:w="1530" w:type="dxa"/>
            <w:gridSpan w:val="2"/>
            <w:tcBorders>
              <w:bottom w:val="single" w:sz="4" w:space="0" w:color="auto"/>
            </w:tcBorders>
          </w:tcPr>
          <w:p w:rsidR="000C53C2" w:rsidRPr="00AA2347" w:rsidRDefault="000C53C2" w:rsidP="009B5ED1">
            <w:pPr>
              <w:jc w:val="center"/>
              <w:rPr>
                <w:sz w:val="22"/>
                <w:szCs w:val="22"/>
                <w:lang w:val="en-US"/>
              </w:rPr>
            </w:pPr>
          </w:p>
        </w:tc>
        <w:tc>
          <w:tcPr>
            <w:tcW w:w="2610" w:type="dxa"/>
            <w:tcBorders>
              <w:bottom w:val="single" w:sz="4" w:space="0" w:color="auto"/>
            </w:tcBorders>
          </w:tcPr>
          <w:p w:rsidR="000C53C2" w:rsidRPr="00AA2347" w:rsidRDefault="000C53C2" w:rsidP="009B5ED1">
            <w:pPr>
              <w:jc w:val="center"/>
              <w:rPr>
                <w:sz w:val="22"/>
                <w:szCs w:val="22"/>
                <w:lang w:val="en-US"/>
              </w:rPr>
            </w:pPr>
            <w:r w:rsidRPr="00AA2347">
              <w:rPr>
                <w:sz w:val="22"/>
                <w:szCs w:val="22"/>
                <w:lang w:val="en-US"/>
              </w:rPr>
              <w:t>5a</w:t>
            </w:r>
          </w:p>
        </w:tc>
        <w:tc>
          <w:tcPr>
            <w:tcW w:w="2696" w:type="dxa"/>
            <w:tcBorders>
              <w:bottom w:val="single" w:sz="4" w:space="0" w:color="auto"/>
            </w:tcBorders>
          </w:tcPr>
          <w:p w:rsidR="000C53C2" w:rsidRPr="00AA2347" w:rsidRDefault="000C53C2" w:rsidP="009B5ED1">
            <w:pPr>
              <w:jc w:val="center"/>
              <w:rPr>
                <w:sz w:val="22"/>
                <w:szCs w:val="22"/>
                <w:lang w:val="en-US"/>
              </w:rPr>
            </w:pPr>
            <w:r w:rsidRPr="00AA2347">
              <w:rPr>
                <w:sz w:val="22"/>
                <w:szCs w:val="22"/>
                <w:lang w:val="en-US"/>
              </w:rPr>
              <w:t>6</w:t>
            </w:r>
          </w:p>
        </w:tc>
        <w:tc>
          <w:tcPr>
            <w:tcW w:w="236" w:type="dxa"/>
            <w:tcBorders>
              <w:bottom w:val="single" w:sz="4" w:space="0" w:color="auto"/>
            </w:tcBorders>
          </w:tcPr>
          <w:p w:rsidR="000C53C2" w:rsidRPr="00AA2347" w:rsidRDefault="000C53C2" w:rsidP="009B5ED1">
            <w:pPr>
              <w:jc w:val="center"/>
              <w:rPr>
                <w:sz w:val="22"/>
                <w:szCs w:val="22"/>
                <w:lang w:val="en-US"/>
              </w:rPr>
            </w:pPr>
          </w:p>
        </w:tc>
        <w:tc>
          <w:tcPr>
            <w:tcW w:w="236" w:type="dxa"/>
            <w:tcBorders>
              <w:bottom w:val="single" w:sz="4" w:space="0" w:color="auto"/>
            </w:tcBorders>
          </w:tcPr>
          <w:p w:rsidR="000C53C2" w:rsidRPr="00AA2347" w:rsidRDefault="000C53C2" w:rsidP="009B5ED1">
            <w:pPr>
              <w:jc w:val="center"/>
              <w:rPr>
                <w:sz w:val="22"/>
                <w:szCs w:val="22"/>
                <w:lang w:val="en-US"/>
              </w:rPr>
            </w:pPr>
          </w:p>
        </w:tc>
      </w:tr>
      <w:tr w:rsidR="000C53C2" w:rsidRPr="00AA2347" w:rsidTr="009B5ED1">
        <w:tc>
          <w:tcPr>
            <w:tcW w:w="2340" w:type="dxa"/>
            <w:tcBorders>
              <w:top w:val="single" w:sz="4" w:space="0" w:color="auto"/>
            </w:tcBorders>
          </w:tcPr>
          <w:p w:rsidR="000C53C2" w:rsidRPr="00AA2347" w:rsidRDefault="000C53C2" w:rsidP="009B5ED1">
            <w:pPr>
              <w:rPr>
                <w:sz w:val="22"/>
                <w:szCs w:val="22"/>
                <w:lang w:val="en-US"/>
              </w:rPr>
            </w:pPr>
            <w:r w:rsidRPr="00AA2347">
              <w:rPr>
                <w:sz w:val="22"/>
                <w:szCs w:val="22"/>
                <w:lang w:val="en-US"/>
              </w:rPr>
              <w:t>Intercept</w:t>
            </w:r>
          </w:p>
          <w:p w:rsidR="000C53C2" w:rsidRPr="00AA2347" w:rsidRDefault="000C53C2" w:rsidP="009B5ED1">
            <w:pPr>
              <w:rPr>
                <w:sz w:val="22"/>
                <w:szCs w:val="22"/>
                <w:lang w:val="en-US"/>
              </w:rPr>
            </w:pPr>
          </w:p>
        </w:tc>
        <w:tc>
          <w:tcPr>
            <w:tcW w:w="1530" w:type="dxa"/>
            <w:gridSpan w:val="2"/>
            <w:tcBorders>
              <w:top w:val="single" w:sz="4" w:space="0" w:color="auto"/>
            </w:tcBorders>
            <w:vAlign w:val="center"/>
          </w:tcPr>
          <w:p w:rsidR="000C53C2" w:rsidRPr="00AA2347" w:rsidRDefault="000C53C2" w:rsidP="009B5ED1">
            <w:pPr>
              <w:jc w:val="center"/>
              <w:rPr>
                <w:sz w:val="22"/>
                <w:szCs w:val="22"/>
                <w:lang w:val="en-US"/>
              </w:rPr>
            </w:pPr>
          </w:p>
        </w:tc>
        <w:tc>
          <w:tcPr>
            <w:tcW w:w="2610" w:type="dxa"/>
            <w:tcBorders>
              <w:top w:val="single" w:sz="4" w:space="0" w:color="auto"/>
            </w:tcBorders>
          </w:tcPr>
          <w:p w:rsidR="000C53C2" w:rsidRPr="00AA2347" w:rsidRDefault="000C53C2" w:rsidP="009B5ED1">
            <w:pPr>
              <w:jc w:val="center"/>
              <w:rPr>
                <w:sz w:val="22"/>
                <w:szCs w:val="22"/>
                <w:lang w:val="en-US"/>
              </w:rPr>
            </w:pPr>
            <w:r w:rsidRPr="00AA2347">
              <w:rPr>
                <w:sz w:val="22"/>
                <w:szCs w:val="22"/>
                <w:lang w:val="en-US"/>
              </w:rPr>
              <w:t>-5.353 (.134)</w:t>
            </w:r>
          </w:p>
        </w:tc>
        <w:tc>
          <w:tcPr>
            <w:tcW w:w="2696" w:type="dxa"/>
            <w:tcBorders>
              <w:top w:val="single" w:sz="4" w:space="0" w:color="auto"/>
            </w:tcBorders>
          </w:tcPr>
          <w:p w:rsidR="000C53C2" w:rsidRPr="00AA2347" w:rsidRDefault="000C53C2" w:rsidP="009B5ED1">
            <w:pPr>
              <w:jc w:val="center"/>
              <w:rPr>
                <w:sz w:val="22"/>
                <w:szCs w:val="22"/>
                <w:lang w:val="en-US"/>
              </w:rPr>
            </w:pPr>
            <w:r w:rsidRPr="00AA2347">
              <w:rPr>
                <w:sz w:val="22"/>
                <w:szCs w:val="22"/>
                <w:lang w:val="en-US"/>
              </w:rPr>
              <w:t>-5.407 (.136)</w:t>
            </w:r>
          </w:p>
        </w:tc>
        <w:tc>
          <w:tcPr>
            <w:tcW w:w="236" w:type="dxa"/>
            <w:tcBorders>
              <w:top w:val="single" w:sz="4" w:space="0" w:color="auto"/>
            </w:tcBorders>
            <w:vAlign w:val="center"/>
          </w:tcPr>
          <w:p w:rsidR="000C53C2" w:rsidRPr="00AA2347" w:rsidRDefault="000C53C2" w:rsidP="009B5ED1">
            <w:pPr>
              <w:jc w:val="center"/>
              <w:rPr>
                <w:sz w:val="22"/>
                <w:szCs w:val="22"/>
                <w:lang w:val="en-US"/>
              </w:rPr>
            </w:pPr>
          </w:p>
        </w:tc>
        <w:tc>
          <w:tcPr>
            <w:tcW w:w="236" w:type="dxa"/>
            <w:tcBorders>
              <w:top w:val="single" w:sz="4" w:space="0" w:color="auto"/>
            </w:tcBorders>
          </w:tcPr>
          <w:p w:rsidR="000C53C2" w:rsidRPr="00AA2347" w:rsidRDefault="000C53C2" w:rsidP="009B5ED1">
            <w:pPr>
              <w:rPr>
                <w:sz w:val="22"/>
                <w:szCs w:val="22"/>
                <w:lang w:val="en-US"/>
              </w:rPr>
            </w:pPr>
          </w:p>
        </w:tc>
      </w:tr>
      <w:tr w:rsidR="000C53C2" w:rsidRPr="00AA2347" w:rsidTr="009B5ED1">
        <w:tc>
          <w:tcPr>
            <w:tcW w:w="2340" w:type="dxa"/>
          </w:tcPr>
          <w:p w:rsidR="000C53C2" w:rsidRPr="00AA2347" w:rsidRDefault="000C53C2" w:rsidP="009B5ED1">
            <w:pPr>
              <w:rPr>
                <w:sz w:val="22"/>
                <w:szCs w:val="22"/>
                <w:lang w:val="en-US"/>
              </w:rPr>
            </w:pPr>
            <w:r w:rsidRPr="00AA2347">
              <w:rPr>
                <w:sz w:val="22"/>
                <w:szCs w:val="22"/>
                <w:lang w:val="en-US"/>
              </w:rPr>
              <w:t xml:space="preserve">Time Free (years) </w:t>
            </w:r>
          </w:p>
          <w:p w:rsidR="000C53C2" w:rsidRPr="00AA2347" w:rsidRDefault="000C53C2" w:rsidP="009B5ED1">
            <w:pPr>
              <w:rPr>
                <w:sz w:val="22"/>
                <w:szCs w:val="22"/>
                <w:lang w:val="en-US"/>
              </w:rPr>
            </w:pPr>
          </w:p>
        </w:tc>
        <w:tc>
          <w:tcPr>
            <w:tcW w:w="1530" w:type="dxa"/>
            <w:gridSpan w:val="2"/>
            <w:vAlign w:val="center"/>
          </w:tcPr>
          <w:p w:rsidR="000C53C2" w:rsidRPr="00AA2347" w:rsidRDefault="000C53C2" w:rsidP="009B5ED1">
            <w:pPr>
              <w:jc w:val="center"/>
              <w:rPr>
                <w:sz w:val="22"/>
                <w:szCs w:val="22"/>
                <w:lang w:val="en-US"/>
              </w:rPr>
            </w:pPr>
          </w:p>
        </w:tc>
        <w:tc>
          <w:tcPr>
            <w:tcW w:w="2610" w:type="dxa"/>
          </w:tcPr>
          <w:p w:rsidR="000C53C2" w:rsidRPr="00AA2347" w:rsidRDefault="000C53C2" w:rsidP="009B5ED1">
            <w:pPr>
              <w:jc w:val="center"/>
              <w:rPr>
                <w:sz w:val="22"/>
                <w:szCs w:val="22"/>
                <w:lang w:val="en-US"/>
              </w:rPr>
            </w:pPr>
            <w:r w:rsidRPr="00AA2347">
              <w:rPr>
                <w:sz w:val="22"/>
                <w:szCs w:val="22"/>
                <w:lang w:val="en-US"/>
              </w:rPr>
              <w:t>-.120 (.018)</w:t>
            </w:r>
          </w:p>
        </w:tc>
        <w:tc>
          <w:tcPr>
            <w:tcW w:w="2696" w:type="dxa"/>
          </w:tcPr>
          <w:p w:rsidR="000C53C2" w:rsidRPr="00AA2347" w:rsidRDefault="000C53C2" w:rsidP="009B5ED1">
            <w:pPr>
              <w:jc w:val="center"/>
              <w:rPr>
                <w:sz w:val="22"/>
                <w:szCs w:val="22"/>
                <w:lang w:val="en-US"/>
              </w:rPr>
            </w:pPr>
            <w:r w:rsidRPr="00AA2347">
              <w:rPr>
                <w:sz w:val="22"/>
                <w:szCs w:val="22"/>
                <w:lang w:val="en-US"/>
              </w:rPr>
              <w:t>-.135 (.019)</w:t>
            </w:r>
          </w:p>
        </w:tc>
        <w:tc>
          <w:tcPr>
            <w:tcW w:w="236" w:type="dxa"/>
          </w:tcPr>
          <w:p w:rsidR="000C53C2" w:rsidRPr="00AA2347" w:rsidRDefault="000C53C2" w:rsidP="009B5ED1">
            <w:pPr>
              <w:jc w:val="center"/>
              <w:rPr>
                <w:sz w:val="22"/>
                <w:szCs w:val="22"/>
                <w:lang w:val="en-US"/>
              </w:rPr>
            </w:pPr>
          </w:p>
        </w:tc>
        <w:tc>
          <w:tcPr>
            <w:tcW w:w="236" w:type="dxa"/>
          </w:tcPr>
          <w:p w:rsidR="000C53C2" w:rsidRPr="00AA2347" w:rsidRDefault="000C53C2" w:rsidP="009B5ED1">
            <w:pPr>
              <w:rPr>
                <w:sz w:val="22"/>
                <w:szCs w:val="22"/>
                <w:lang w:val="en-US"/>
              </w:rPr>
            </w:pPr>
          </w:p>
        </w:tc>
      </w:tr>
      <w:tr w:rsidR="000C53C2" w:rsidRPr="00AA2347" w:rsidTr="009B5ED1">
        <w:tc>
          <w:tcPr>
            <w:tcW w:w="2340" w:type="dxa"/>
          </w:tcPr>
          <w:p w:rsidR="000C53C2" w:rsidRPr="00AA2347" w:rsidRDefault="000C53C2" w:rsidP="009B5ED1">
            <w:pPr>
              <w:rPr>
                <w:sz w:val="22"/>
                <w:szCs w:val="22"/>
                <w:lang w:val="en-US"/>
              </w:rPr>
            </w:pPr>
            <w:r w:rsidRPr="00AA2347">
              <w:rPr>
                <w:sz w:val="22"/>
                <w:szCs w:val="22"/>
                <w:lang w:val="en-US"/>
              </w:rPr>
              <w:t xml:space="preserve">Static-99R </w:t>
            </w:r>
          </w:p>
          <w:p w:rsidR="000C53C2" w:rsidRPr="00AA2347" w:rsidRDefault="000C53C2" w:rsidP="009B5ED1">
            <w:pPr>
              <w:rPr>
                <w:sz w:val="22"/>
                <w:szCs w:val="22"/>
                <w:lang w:val="en-US"/>
              </w:rPr>
            </w:pPr>
          </w:p>
        </w:tc>
        <w:tc>
          <w:tcPr>
            <w:tcW w:w="1530" w:type="dxa"/>
            <w:gridSpan w:val="2"/>
            <w:vAlign w:val="center"/>
          </w:tcPr>
          <w:p w:rsidR="000C53C2" w:rsidRPr="00AA2347" w:rsidRDefault="000C53C2" w:rsidP="009B5ED1">
            <w:pPr>
              <w:jc w:val="center"/>
              <w:rPr>
                <w:sz w:val="22"/>
                <w:szCs w:val="22"/>
                <w:lang w:val="en-US"/>
              </w:rPr>
            </w:pPr>
          </w:p>
        </w:tc>
        <w:tc>
          <w:tcPr>
            <w:tcW w:w="2610" w:type="dxa"/>
          </w:tcPr>
          <w:p w:rsidR="000C53C2" w:rsidRPr="00AA2347" w:rsidRDefault="000C53C2" w:rsidP="009B5ED1">
            <w:pPr>
              <w:jc w:val="center"/>
              <w:rPr>
                <w:sz w:val="22"/>
                <w:szCs w:val="22"/>
                <w:lang w:val="en-US"/>
              </w:rPr>
            </w:pPr>
            <w:r w:rsidRPr="00AA2347">
              <w:rPr>
                <w:sz w:val="22"/>
                <w:szCs w:val="22"/>
                <w:lang w:val="en-US"/>
              </w:rPr>
              <w:t>.344 (.034)</w:t>
            </w:r>
          </w:p>
        </w:tc>
        <w:tc>
          <w:tcPr>
            <w:tcW w:w="2696" w:type="dxa"/>
          </w:tcPr>
          <w:p w:rsidR="000C53C2" w:rsidRPr="00AA2347" w:rsidRDefault="000C53C2" w:rsidP="009B5ED1">
            <w:pPr>
              <w:jc w:val="center"/>
              <w:rPr>
                <w:sz w:val="22"/>
                <w:szCs w:val="22"/>
                <w:lang w:val="en-US"/>
              </w:rPr>
            </w:pPr>
            <w:r w:rsidRPr="00AA2347">
              <w:rPr>
                <w:sz w:val="22"/>
                <w:szCs w:val="22"/>
                <w:lang w:val="en-US"/>
              </w:rPr>
              <w:t>.322 (.035)</w:t>
            </w:r>
          </w:p>
        </w:tc>
        <w:tc>
          <w:tcPr>
            <w:tcW w:w="236" w:type="dxa"/>
          </w:tcPr>
          <w:p w:rsidR="000C53C2" w:rsidRPr="00AA2347" w:rsidRDefault="000C53C2" w:rsidP="009B5ED1">
            <w:pPr>
              <w:jc w:val="center"/>
              <w:rPr>
                <w:sz w:val="22"/>
                <w:szCs w:val="22"/>
                <w:lang w:val="en-US"/>
              </w:rPr>
            </w:pPr>
          </w:p>
        </w:tc>
        <w:tc>
          <w:tcPr>
            <w:tcW w:w="236" w:type="dxa"/>
          </w:tcPr>
          <w:p w:rsidR="000C53C2" w:rsidRPr="00AA2347" w:rsidRDefault="000C53C2" w:rsidP="009B5ED1">
            <w:pPr>
              <w:jc w:val="center"/>
              <w:rPr>
                <w:sz w:val="22"/>
                <w:szCs w:val="22"/>
                <w:lang w:val="en-US"/>
              </w:rPr>
            </w:pPr>
          </w:p>
        </w:tc>
      </w:tr>
      <w:tr w:rsidR="000C53C2" w:rsidRPr="00AA2347" w:rsidTr="009B5ED1">
        <w:trPr>
          <w:trHeight w:val="873"/>
        </w:trPr>
        <w:tc>
          <w:tcPr>
            <w:tcW w:w="3870" w:type="dxa"/>
            <w:gridSpan w:val="3"/>
          </w:tcPr>
          <w:p w:rsidR="000C53C2" w:rsidRPr="00AA2347" w:rsidRDefault="000C53C2" w:rsidP="009B5ED1">
            <w:pPr>
              <w:rPr>
                <w:sz w:val="22"/>
                <w:szCs w:val="22"/>
                <w:lang w:val="en-US"/>
              </w:rPr>
            </w:pPr>
            <w:r w:rsidRPr="00AA2347">
              <w:rPr>
                <w:sz w:val="22"/>
                <w:szCs w:val="22"/>
                <w:lang w:val="en-US"/>
              </w:rPr>
              <w:t>Sample Type (reference category is routine/complete)</w:t>
            </w:r>
          </w:p>
          <w:p w:rsidR="000C53C2" w:rsidRPr="00AA2347" w:rsidRDefault="000C53C2" w:rsidP="009B5ED1">
            <w:pPr>
              <w:jc w:val="center"/>
              <w:rPr>
                <w:sz w:val="22"/>
                <w:szCs w:val="22"/>
                <w:lang w:val="en-US"/>
              </w:rPr>
            </w:pPr>
          </w:p>
        </w:tc>
        <w:tc>
          <w:tcPr>
            <w:tcW w:w="2610" w:type="dxa"/>
          </w:tcPr>
          <w:p w:rsidR="000C53C2" w:rsidRPr="00AA2347" w:rsidRDefault="000C53C2" w:rsidP="009B5ED1">
            <w:pPr>
              <w:jc w:val="center"/>
              <w:rPr>
                <w:sz w:val="22"/>
                <w:szCs w:val="22"/>
                <w:lang w:val="en-US"/>
              </w:rPr>
            </w:pPr>
          </w:p>
        </w:tc>
        <w:tc>
          <w:tcPr>
            <w:tcW w:w="2696" w:type="dxa"/>
          </w:tcPr>
          <w:p w:rsidR="000C53C2" w:rsidRPr="00AA2347" w:rsidRDefault="000C53C2" w:rsidP="009B5ED1">
            <w:pPr>
              <w:jc w:val="center"/>
              <w:rPr>
                <w:sz w:val="22"/>
                <w:szCs w:val="22"/>
                <w:lang w:val="en-US"/>
              </w:rPr>
            </w:pPr>
          </w:p>
        </w:tc>
        <w:tc>
          <w:tcPr>
            <w:tcW w:w="236" w:type="dxa"/>
          </w:tcPr>
          <w:p w:rsidR="000C53C2" w:rsidRPr="00AA2347" w:rsidRDefault="000C53C2" w:rsidP="009B5ED1">
            <w:pPr>
              <w:jc w:val="center"/>
              <w:rPr>
                <w:sz w:val="22"/>
                <w:szCs w:val="22"/>
                <w:lang w:val="en-US"/>
              </w:rPr>
            </w:pPr>
          </w:p>
        </w:tc>
        <w:tc>
          <w:tcPr>
            <w:tcW w:w="236" w:type="dxa"/>
          </w:tcPr>
          <w:p w:rsidR="000C53C2" w:rsidRPr="00AA2347" w:rsidRDefault="000C53C2" w:rsidP="009B5ED1">
            <w:pPr>
              <w:jc w:val="center"/>
              <w:rPr>
                <w:sz w:val="22"/>
                <w:szCs w:val="22"/>
                <w:lang w:val="en-US"/>
              </w:rPr>
            </w:pPr>
          </w:p>
        </w:tc>
      </w:tr>
      <w:tr w:rsidR="000C53C2" w:rsidRPr="00AA2347" w:rsidTr="009B5ED1">
        <w:tc>
          <w:tcPr>
            <w:tcW w:w="2340" w:type="dxa"/>
          </w:tcPr>
          <w:p w:rsidR="000C53C2" w:rsidRPr="00AA2347" w:rsidRDefault="000C53C2" w:rsidP="009B5ED1">
            <w:pPr>
              <w:rPr>
                <w:sz w:val="22"/>
                <w:szCs w:val="22"/>
                <w:lang w:val="en-US"/>
              </w:rPr>
            </w:pPr>
            <w:r w:rsidRPr="00AA2347">
              <w:rPr>
                <w:sz w:val="22"/>
                <w:szCs w:val="22"/>
                <w:lang w:val="en-US"/>
              </w:rPr>
              <w:t xml:space="preserve">  Treatment</w:t>
            </w:r>
          </w:p>
        </w:tc>
        <w:tc>
          <w:tcPr>
            <w:tcW w:w="1530" w:type="dxa"/>
            <w:gridSpan w:val="2"/>
            <w:vAlign w:val="center"/>
          </w:tcPr>
          <w:p w:rsidR="000C53C2" w:rsidRPr="00AA2347" w:rsidRDefault="000C53C2" w:rsidP="009B5ED1">
            <w:pPr>
              <w:jc w:val="center"/>
              <w:rPr>
                <w:sz w:val="22"/>
                <w:szCs w:val="22"/>
                <w:lang w:val="en-US"/>
              </w:rPr>
            </w:pPr>
          </w:p>
        </w:tc>
        <w:tc>
          <w:tcPr>
            <w:tcW w:w="2610" w:type="dxa"/>
          </w:tcPr>
          <w:p w:rsidR="000C53C2" w:rsidRPr="00AA2347" w:rsidRDefault="000C53C2" w:rsidP="009B5ED1">
            <w:pPr>
              <w:jc w:val="center"/>
              <w:rPr>
                <w:sz w:val="22"/>
                <w:szCs w:val="22"/>
                <w:lang w:val="en-US"/>
              </w:rPr>
            </w:pPr>
            <w:r w:rsidRPr="00AA2347">
              <w:rPr>
                <w:sz w:val="22"/>
                <w:szCs w:val="22"/>
                <w:lang w:val="en-US"/>
              </w:rPr>
              <w:t>.212 (.198)</w:t>
            </w:r>
          </w:p>
        </w:tc>
        <w:tc>
          <w:tcPr>
            <w:tcW w:w="2696" w:type="dxa"/>
          </w:tcPr>
          <w:p w:rsidR="000C53C2" w:rsidRPr="00AA2347" w:rsidRDefault="000C53C2" w:rsidP="009B5ED1">
            <w:pPr>
              <w:jc w:val="center"/>
              <w:rPr>
                <w:sz w:val="22"/>
                <w:szCs w:val="22"/>
                <w:lang w:val="en-US"/>
              </w:rPr>
            </w:pPr>
            <w:r w:rsidRPr="00AA2347">
              <w:rPr>
                <w:sz w:val="22"/>
                <w:szCs w:val="22"/>
                <w:lang w:val="en-US"/>
              </w:rPr>
              <w:t>.228 (.198)</w:t>
            </w:r>
          </w:p>
          <w:p w:rsidR="000C53C2" w:rsidRPr="00AA2347" w:rsidRDefault="000C53C2" w:rsidP="009B5ED1">
            <w:pPr>
              <w:jc w:val="center"/>
              <w:rPr>
                <w:sz w:val="22"/>
                <w:szCs w:val="22"/>
                <w:lang w:val="en-US"/>
              </w:rPr>
            </w:pPr>
          </w:p>
        </w:tc>
        <w:tc>
          <w:tcPr>
            <w:tcW w:w="236" w:type="dxa"/>
          </w:tcPr>
          <w:p w:rsidR="000C53C2" w:rsidRPr="00AA2347" w:rsidRDefault="000C53C2" w:rsidP="009B5ED1">
            <w:pPr>
              <w:jc w:val="center"/>
              <w:rPr>
                <w:sz w:val="22"/>
                <w:szCs w:val="22"/>
                <w:lang w:val="en-US"/>
              </w:rPr>
            </w:pPr>
          </w:p>
        </w:tc>
        <w:tc>
          <w:tcPr>
            <w:tcW w:w="236" w:type="dxa"/>
          </w:tcPr>
          <w:p w:rsidR="000C53C2" w:rsidRPr="00AA2347" w:rsidRDefault="000C53C2" w:rsidP="009B5ED1">
            <w:pPr>
              <w:jc w:val="center"/>
              <w:rPr>
                <w:sz w:val="22"/>
                <w:szCs w:val="22"/>
                <w:lang w:val="en-US"/>
              </w:rPr>
            </w:pPr>
          </w:p>
        </w:tc>
      </w:tr>
      <w:tr w:rsidR="000C53C2" w:rsidRPr="00AA2347" w:rsidTr="009B5ED1">
        <w:tc>
          <w:tcPr>
            <w:tcW w:w="2340" w:type="dxa"/>
          </w:tcPr>
          <w:p w:rsidR="000C53C2" w:rsidRPr="00AA2347" w:rsidRDefault="000C53C2" w:rsidP="009B5ED1">
            <w:pPr>
              <w:rPr>
                <w:sz w:val="22"/>
                <w:szCs w:val="22"/>
                <w:lang w:val="en-US"/>
              </w:rPr>
            </w:pPr>
            <w:r w:rsidRPr="00AA2347">
              <w:rPr>
                <w:sz w:val="22"/>
                <w:szCs w:val="22"/>
                <w:lang w:val="en-US"/>
              </w:rPr>
              <w:t xml:space="preserve">  High Risk/High Need</w:t>
            </w:r>
          </w:p>
        </w:tc>
        <w:tc>
          <w:tcPr>
            <w:tcW w:w="1530" w:type="dxa"/>
            <w:gridSpan w:val="2"/>
            <w:vAlign w:val="center"/>
          </w:tcPr>
          <w:p w:rsidR="000C53C2" w:rsidRPr="00AA2347" w:rsidRDefault="000C53C2" w:rsidP="009B5ED1">
            <w:pPr>
              <w:jc w:val="center"/>
              <w:rPr>
                <w:sz w:val="22"/>
                <w:szCs w:val="22"/>
                <w:lang w:val="en-US"/>
              </w:rPr>
            </w:pPr>
          </w:p>
        </w:tc>
        <w:tc>
          <w:tcPr>
            <w:tcW w:w="2610" w:type="dxa"/>
          </w:tcPr>
          <w:p w:rsidR="000C53C2" w:rsidRPr="00AA2347" w:rsidRDefault="000C53C2" w:rsidP="009B5ED1">
            <w:pPr>
              <w:jc w:val="center"/>
              <w:rPr>
                <w:sz w:val="22"/>
                <w:szCs w:val="22"/>
                <w:lang w:val="en-US"/>
              </w:rPr>
            </w:pPr>
            <w:r w:rsidRPr="00AA2347">
              <w:rPr>
                <w:sz w:val="22"/>
                <w:szCs w:val="22"/>
                <w:lang w:val="en-US"/>
              </w:rPr>
              <w:t>1.425 (.193)</w:t>
            </w:r>
          </w:p>
        </w:tc>
        <w:tc>
          <w:tcPr>
            <w:tcW w:w="2696" w:type="dxa"/>
          </w:tcPr>
          <w:p w:rsidR="000C53C2" w:rsidRPr="00AA2347" w:rsidRDefault="000C53C2" w:rsidP="009B5ED1">
            <w:pPr>
              <w:jc w:val="center"/>
              <w:rPr>
                <w:sz w:val="22"/>
                <w:szCs w:val="22"/>
                <w:lang w:val="en-US"/>
              </w:rPr>
            </w:pPr>
            <w:r w:rsidRPr="00AA2347">
              <w:rPr>
                <w:sz w:val="22"/>
                <w:szCs w:val="22"/>
                <w:lang w:val="en-US"/>
              </w:rPr>
              <w:t>1.459 (.193)</w:t>
            </w:r>
          </w:p>
          <w:p w:rsidR="000C53C2" w:rsidRPr="00AA2347" w:rsidRDefault="000C53C2" w:rsidP="009B5ED1">
            <w:pPr>
              <w:jc w:val="center"/>
              <w:rPr>
                <w:sz w:val="22"/>
                <w:szCs w:val="22"/>
                <w:lang w:val="en-US"/>
              </w:rPr>
            </w:pPr>
          </w:p>
        </w:tc>
        <w:tc>
          <w:tcPr>
            <w:tcW w:w="236" w:type="dxa"/>
          </w:tcPr>
          <w:p w:rsidR="000C53C2" w:rsidRPr="00AA2347" w:rsidRDefault="000C53C2" w:rsidP="009B5ED1">
            <w:pPr>
              <w:jc w:val="center"/>
              <w:rPr>
                <w:sz w:val="22"/>
                <w:szCs w:val="22"/>
                <w:lang w:val="en-US"/>
              </w:rPr>
            </w:pPr>
          </w:p>
        </w:tc>
        <w:tc>
          <w:tcPr>
            <w:tcW w:w="236" w:type="dxa"/>
          </w:tcPr>
          <w:p w:rsidR="000C53C2" w:rsidRPr="00AA2347" w:rsidRDefault="000C53C2" w:rsidP="009B5ED1">
            <w:pPr>
              <w:jc w:val="center"/>
              <w:rPr>
                <w:sz w:val="22"/>
                <w:szCs w:val="22"/>
                <w:lang w:val="en-US"/>
              </w:rPr>
            </w:pPr>
          </w:p>
        </w:tc>
      </w:tr>
      <w:tr w:rsidR="000C53C2" w:rsidRPr="00AA2347" w:rsidTr="009B5ED1">
        <w:tc>
          <w:tcPr>
            <w:tcW w:w="2340" w:type="dxa"/>
          </w:tcPr>
          <w:p w:rsidR="000C53C2" w:rsidRPr="00AA2347" w:rsidRDefault="000C53C2" w:rsidP="009B5ED1">
            <w:pPr>
              <w:rPr>
                <w:sz w:val="22"/>
                <w:szCs w:val="22"/>
                <w:lang w:val="en-US"/>
              </w:rPr>
            </w:pPr>
            <w:r w:rsidRPr="00AA2347">
              <w:rPr>
                <w:sz w:val="22"/>
                <w:szCs w:val="22"/>
                <w:lang w:val="en-US"/>
              </w:rPr>
              <w:t xml:space="preserve">  Other</w:t>
            </w:r>
          </w:p>
        </w:tc>
        <w:tc>
          <w:tcPr>
            <w:tcW w:w="1530" w:type="dxa"/>
            <w:gridSpan w:val="2"/>
            <w:vAlign w:val="center"/>
          </w:tcPr>
          <w:p w:rsidR="000C53C2" w:rsidRPr="00AA2347" w:rsidRDefault="000C53C2" w:rsidP="009B5ED1">
            <w:pPr>
              <w:jc w:val="center"/>
              <w:rPr>
                <w:sz w:val="22"/>
                <w:szCs w:val="22"/>
                <w:lang w:val="en-US"/>
              </w:rPr>
            </w:pPr>
          </w:p>
        </w:tc>
        <w:tc>
          <w:tcPr>
            <w:tcW w:w="2610" w:type="dxa"/>
          </w:tcPr>
          <w:p w:rsidR="000C53C2" w:rsidRPr="00AA2347" w:rsidRDefault="000C53C2" w:rsidP="009B5ED1">
            <w:pPr>
              <w:jc w:val="center"/>
              <w:rPr>
                <w:sz w:val="22"/>
                <w:szCs w:val="22"/>
                <w:lang w:val="en-US"/>
              </w:rPr>
            </w:pPr>
            <w:r w:rsidRPr="00AA2347">
              <w:rPr>
                <w:sz w:val="22"/>
                <w:szCs w:val="22"/>
                <w:lang w:val="en-US"/>
              </w:rPr>
              <w:t>-.399 (.621)</w:t>
            </w:r>
          </w:p>
        </w:tc>
        <w:tc>
          <w:tcPr>
            <w:tcW w:w="2696" w:type="dxa"/>
          </w:tcPr>
          <w:p w:rsidR="000C53C2" w:rsidRPr="00AA2347" w:rsidRDefault="000C53C2" w:rsidP="009B5ED1">
            <w:pPr>
              <w:jc w:val="center"/>
              <w:rPr>
                <w:sz w:val="22"/>
                <w:szCs w:val="22"/>
                <w:lang w:val="en-US"/>
              </w:rPr>
            </w:pPr>
            <w:r w:rsidRPr="00AA2347">
              <w:rPr>
                <w:sz w:val="22"/>
                <w:szCs w:val="22"/>
                <w:lang w:val="en-US"/>
              </w:rPr>
              <w:t>-.413 (.635)</w:t>
            </w:r>
          </w:p>
          <w:p w:rsidR="000C53C2" w:rsidRPr="00AA2347" w:rsidRDefault="000C53C2" w:rsidP="009B5ED1">
            <w:pPr>
              <w:jc w:val="center"/>
              <w:rPr>
                <w:sz w:val="22"/>
                <w:szCs w:val="22"/>
                <w:lang w:val="en-US"/>
              </w:rPr>
            </w:pPr>
          </w:p>
        </w:tc>
        <w:tc>
          <w:tcPr>
            <w:tcW w:w="236" w:type="dxa"/>
          </w:tcPr>
          <w:p w:rsidR="000C53C2" w:rsidRPr="00AA2347" w:rsidRDefault="000C53C2" w:rsidP="009B5ED1">
            <w:pPr>
              <w:jc w:val="center"/>
              <w:rPr>
                <w:sz w:val="22"/>
                <w:szCs w:val="22"/>
                <w:lang w:val="en-US"/>
              </w:rPr>
            </w:pPr>
          </w:p>
        </w:tc>
        <w:tc>
          <w:tcPr>
            <w:tcW w:w="236" w:type="dxa"/>
          </w:tcPr>
          <w:p w:rsidR="000C53C2" w:rsidRPr="00AA2347" w:rsidRDefault="000C53C2" w:rsidP="009B5ED1">
            <w:pPr>
              <w:jc w:val="center"/>
              <w:rPr>
                <w:sz w:val="22"/>
                <w:szCs w:val="22"/>
                <w:lang w:val="en-US"/>
              </w:rPr>
            </w:pPr>
          </w:p>
        </w:tc>
      </w:tr>
      <w:tr w:rsidR="000C53C2" w:rsidRPr="00AA2347" w:rsidTr="009B5ED1">
        <w:tc>
          <w:tcPr>
            <w:tcW w:w="3870" w:type="dxa"/>
            <w:gridSpan w:val="3"/>
          </w:tcPr>
          <w:p w:rsidR="000C53C2" w:rsidRPr="00AA2347" w:rsidRDefault="000C53C2" w:rsidP="009B5ED1">
            <w:pPr>
              <w:rPr>
                <w:sz w:val="22"/>
                <w:szCs w:val="22"/>
                <w:lang w:val="en-US"/>
              </w:rPr>
            </w:pPr>
            <w:r w:rsidRPr="00AA2347">
              <w:rPr>
                <w:sz w:val="22"/>
                <w:szCs w:val="22"/>
                <w:lang w:val="en-US"/>
              </w:rPr>
              <w:t>Interaction: Static-99R by sample type</w:t>
            </w:r>
          </w:p>
        </w:tc>
        <w:tc>
          <w:tcPr>
            <w:tcW w:w="2610" w:type="dxa"/>
          </w:tcPr>
          <w:p w:rsidR="000C53C2" w:rsidRPr="00AA2347" w:rsidRDefault="000C53C2" w:rsidP="009B5ED1">
            <w:pPr>
              <w:jc w:val="center"/>
              <w:rPr>
                <w:sz w:val="22"/>
                <w:szCs w:val="22"/>
                <w:lang w:val="en-US"/>
              </w:rPr>
            </w:pPr>
          </w:p>
          <w:p w:rsidR="000C53C2" w:rsidRPr="00AA2347" w:rsidRDefault="000C53C2" w:rsidP="009B5ED1">
            <w:pPr>
              <w:jc w:val="center"/>
              <w:rPr>
                <w:sz w:val="22"/>
                <w:szCs w:val="22"/>
                <w:lang w:val="en-US"/>
              </w:rPr>
            </w:pPr>
          </w:p>
        </w:tc>
        <w:tc>
          <w:tcPr>
            <w:tcW w:w="2696" w:type="dxa"/>
          </w:tcPr>
          <w:p w:rsidR="000C53C2" w:rsidRPr="00AA2347" w:rsidRDefault="000C53C2" w:rsidP="009B5ED1">
            <w:pPr>
              <w:jc w:val="center"/>
              <w:rPr>
                <w:sz w:val="22"/>
                <w:szCs w:val="22"/>
                <w:lang w:val="en-US"/>
              </w:rPr>
            </w:pPr>
          </w:p>
        </w:tc>
        <w:tc>
          <w:tcPr>
            <w:tcW w:w="236" w:type="dxa"/>
          </w:tcPr>
          <w:p w:rsidR="000C53C2" w:rsidRPr="00AA2347" w:rsidRDefault="000C53C2" w:rsidP="009B5ED1">
            <w:pPr>
              <w:rPr>
                <w:sz w:val="22"/>
                <w:szCs w:val="22"/>
                <w:lang w:val="en-US"/>
              </w:rPr>
            </w:pPr>
          </w:p>
        </w:tc>
        <w:tc>
          <w:tcPr>
            <w:tcW w:w="236" w:type="dxa"/>
          </w:tcPr>
          <w:p w:rsidR="000C53C2" w:rsidRPr="00AA2347" w:rsidRDefault="000C53C2" w:rsidP="009B5ED1">
            <w:pPr>
              <w:rPr>
                <w:sz w:val="22"/>
                <w:szCs w:val="22"/>
                <w:lang w:val="en-US"/>
              </w:rPr>
            </w:pPr>
          </w:p>
        </w:tc>
      </w:tr>
      <w:tr w:rsidR="000C53C2" w:rsidRPr="00AA2347" w:rsidTr="009B5ED1">
        <w:tc>
          <w:tcPr>
            <w:tcW w:w="2340" w:type="dxa"/>
          </w:tcPr>
          <w:p w:rsidR="000C53C2" w:rsidRPr="00AA2347" w:rsidRDefault="000C53C2" w:rsidP="009B5ED1">
            <w:pPr>
              <w:rPr>
                <w:sz w:val="22"/>
                <w:szCs w:val="22"/>
                <w:lang w:val="en-US"/>
              </w:rPr>
            </w:pPr>
            <w:r w:rsidRPr="00AA2347">
              <w:rPr>
                <w:sz w:val="22"/>
                <w:szCs w:val="22"/>
                <w:lang w:val="en-US"/>
              </w:rPr>
              <w:t xml:space="preserve">  Treatment*STATIC</w:t>
            </w:r>
          </w:p>
        </w:tc>
        <w:tc>
          <w:tcPr>
            <w:tcW w:w="1530" w:type="dxa"/>
            <w:gridSpan w:val="2"/>
            <w:vAlign w:val="center"/>
          </w:tcPr>
          <w:p w:rsidR="000C53C2" w:rsidRPr="00AA2347" w:rsidRDefault="000C53C2" w:rsidP="009B5ED1">
            <w:pPr>
              <w:jc w:val="center"/>
              <w:rPr>
                <w:sz w:val="22"/>
                <w:szCs w:val="22"/>
                <w:lang w:val="en-US"/>
              </w:rPr>
            </w:pPr>
          </w:p>
        </w:tc>
        <w:tc>
          <w:tcPr>
            <w:tcW w:w="2610" w:type="dxa"/>
          </w:tcPr>
          <w:p w:rsidR="000C53C2" w:rsidRPr="00AA2347" w:rsidRDefault="000C53C2" w:rsidP="009B5ED1">
            <w:pPr>
              <w:jc w:val="center"/>
              <w:rPr>
                <w:sz w:val="22"/>
                <w:szCs w:val="22"/>
                <w:lang w:val="en-US"/>
              </w:rPr>
            </w:pPr>
            <w:r w:rsidRPr="00AA2347">
              <w:rPr>
                <w:sz w:val="22"/>
                <w:szCs w:val="22"/>
                <w:lang w:val="en-US"/>
              </w:rPr>
              <w:t>-.087 (.062)</w:t>
            </w:r>
          </w:p>
          <w:p w:rsidR="000C53C2" w:rsidRPr="00AA2347" w:rsidRDefault="000C53C2" w:rsidP="009B5ED1">
            <w:pPr>
              <w:jc w:val="center"/>
              <w:rPr>
                <w:sz w:val="22"/>
                <w:szCs w:val="22"/>
                <w:lang w:val="en-US"/>
              </w:rPr>
            </w:pPr>
          </w:p>
        </w:tc>
        <w:tc>
          <w:tcPr>
            <w:tcW w:w="2696" w:type="dxa"/>
          </w:tcPr>
          <w:p w:rsidR="000C53C2" w:rsidRPr="00AA2347" w:rsidRDefault="000C53C2" w:rsidP="009B5ED1">
            <w:pPr>
              <w:jc w:val="center"/>
              <w:rPr>
                <w:sz w:val="22"/>
                <w:szCs w:val="22"/>
                <w:lang w:val="en-US"/>
              </w:rPr>
            </w:pPr>
            <w:r w:rsidRPr="00AA2347">
              <w:rPr>
                <w:sz w:val="22"/>
                <w:szCs w:val="22"/>
                <w:lang w:val="en-US"/>
              </w:rPr>
              <w:t>-.088 (.062)</w:t>
            </w:r>
          </w:p>
        </w:tc>
        <w:tc>
          <w:tcPr>
            <w:tcW w:w="236" w:type="dxa"/>
          </w:tcPr>
          <w:p w:rsidR="000C53C2" w:rsidRPr="00AA2347" w:rsidRDefault="000C53C2" w:rsidP="009B5ED1">
            <w:pPr>
              <w:rPr>
                <w:sz w:val="22"/>
                <w:szCs w:val="22"/>
                <w:lang w:val="en-US"/>
              </w:rPr>
            </w:pPr>
          </w:p>
        </w:tc>
        <w:tc>
          <w:tcPr>
            <w:tcW w:w="236" w:type="dxa"/>
          </w:tcPr>
          <w:p w:rsidR="000C53C2" w:rsidRPr="00AA2347" w:rsidRDefault="000C53C2" w:rsidP="009B5ED1">
            <w:pPr>
              <w:rPr>
                <w:sz w:val="22"/>
                <w:szCs w:val="22"/>
                <w:lang w:val="en-US"/>
              </w:rPr>
            </w:pPr>
          </w:p>
        </w:tc>
      </w:tr>
      <w:tr w:rsidR="000C53C2" w:rsidRPr="00AA2347" w:rsidTr="009B5ED1">
        <w:tc>
          <w:tcPr>
            <w:tcW w:w="3870" w:type="dxa"/>
            <w:gridSpan w:val="3"/>
          </w:tcPr>
          <w:p w:rsidR="000C53C2" w:rsidRPr="00AA2347" w:rsidRDefault="000C53C2" w:rsidP="009B5ED1">
            <w:pPr>
              <w:rPr>
                <w:sz w:val="22"/>
                <w:szCs w:val="22"/>
                <w:lang w:val="en-US"/>
              </w:rPr>
            </w:pPr>
            <w:r w:rsidRPr="00AA2347">
              <w:rPr>
                <w:sz w:val="22"/>
                <w:szCs w:val="22"/>
                <w:lang w:val="en-US"/>
              </w:rPr>
              <w:t xml:space="preserve">  High Risk/High Need*STATIC</w:t>
            </w:r>
          </w:p>
        </w:tc>
        <w:tc>
          <w:tcPr>
            <w:tcW w:w="2610" w:type="dxa"/>
          </w:tcPr>
          <w:p w:rsidR="000C53C2" w:rsidRPr="00AA2347" w:rsidRDefault="000C53C2" w:rsidP="009B5ED1">
            <w:pPr>
              <w:jc w:val="center"/>
              <w:rPr>
                <w:sz w:val="22"/>
                <w:szCs w:val="22"/>
                <w:lang w:val="en-US"/>
              </w:rPr>
            </w:pPr>
            <w:r w:rsidRPr="00AA2347">
              <w:rPr>
                <w:sz w:val="22"/>
                <w:szCs w:val="22"/>
                <w:lang w:val="en-US"/>
              </w:rPr>
              <w:t>-.194 (.053)</w:t>
            </w:r>
          </w:p>
          <w:p w:rsidR="000C53C2" w:rsidRPr="00AA2347" w:rsidRDefault="000C53C2" w:rsidP="009B5ED1">
            <w:pPr>
              <w:jc w:val="center"/>
              <w:rPr>
                <w:sz w:val="22"/>
                <w:szCs w:val="22"/>
                <w:lang w:val="en-US"/>
              </w:rPr>
            </w:pPr>
          </w:p>
        </w:tc>
        <w:tc>
          <w:tcPr>
            <w:tcW w:w="2696" w:type="dxa"/>
          </w:tcPr>
          <w:p w:rsidR="000C53C2" w:rsidRPr="00AA2347" w:rsidRDefault="000C53C2" w:rsidP="009B5ED1">
            <w:pPr>
              <w:jc w:val="center"/>
              <w:rPr>
                <w:sz w:val="22"/>
                <w:szCs w:val="22"/>
                <w:lang w:val="en-US"/>
              </w:rPr>
            </w:pPr>
            <w:r w:rsidRPr="00AA2347">
              <w:rPr>
                <w:sz w:val="22"/>
                <w:szCs w:val="22"/>
                <w:lang w:val="en-US"/>
              </w:rPr>
              <w:t>-.192 (.053)</w:t>
            </w:r>
          </w:p>
        </w:tc>
        <w:tc>
          <w:tcPr>
            <w:tcW w:w="236" w:type="dxa"/>
          </w:tcPr>
          <w:p w:rsidR="000C53C2" w:rsidRPr="00AA2347" w:rsidRDefault="000C53C2" w:rsidP="009B5ED1">
            <w:pPr>
              <w:rPr>
                <w:sz w:val="22"/>
                <w:szCs w:val="22"/>
                <w:lang w:val="en-US"/>
              </w:rPr>
            </w:pPr>
          </w:p>
        </w:tc>
        <w:tc>
          <w:tcPr>
            <w:tcW w:w="236" w:type="dxa"/>
          </w:tcPr>
          <w:p w:rsidR="000C53C2" w:rsidRPr="00AA2347" w:rsidRDefault="000C53C2" w:rsidP="009B5ED1">
            <w:pPr>
              <w:rPr>
                <w:sz w:val="22"/>
                <w:szCs w:val="22"/>
                <w:lang w:val="en-US"/>
              </w:rPr>
            </w:pPr>
          </w:p>
        </w:tc>
      </w:tr>
      <w:tr w:rsidR="000C53C2" w:rsidRPr="00AA2347" w:rsidTr="009B5ED1">
        <w:tc>
          <w:tcPr>
            <w:tcW w:w="2520" w:type="dxa"/>
            <w:gridSpan w:val="2"/>
          </w:tcPr>
          <w:p w:rsidR="000C53C2" w:rsidRPr="00AA2347" w:rsidRDefault="000C53C2" w:rsidP="009B5ED1">
            <w:pPr>
              <w:rPr>
                <w:sz w:val="22"/>
                <w:szCs w:val="22"/>
                <w:lang w:val="en-US"/>
              </w:rPr>
            </w:pPr>
            <w:r w:rsidRPr="00AA2347">
              <w:rPr>
                <w:sz w:val="22"/>
                <w:szCs w:val="22"/>
                <w:lang w:val="en-US"/>
              </w:rPr>
              <w:t xml:space="preserve">  Other*STATIC</w:t>
            </w:r>
          </w:p>
        </w:tc>
        <w:tc>
          <w:tcPr>
            <w:tcW w:w="1350" w:type="dxa"/>
            <w:vAlign w:val="center"/>
          </w:tcPr>
          <w:p w:rsidR="000C53C2" w:rsidRPr="00AA2347" w:rsidRDefault="000C53C2" w:rsidP="009B5ED1">
            <w:pPr>
              <w:jc w:val="center"/>
              <w:rPr>
                <w:sz w:val="22"/>
                <w:szCs w:val="22"/>
                <w:lang w:val="en-US"/>
              </w:rPr>
            </w:pPr>
          </w:p>
        </w:tc>
        <w:tc>
          <w:tcPr>
            <w:tcW w:w="2610" w:type="dxa"/>
          </w:tcPr>
          <w:p w:rsidR="000C53C2" w:rsidRPr="00AA2347" w:rsidRDefault="000C53C2" w:rsidP="009B5ED1">
            <w:pPr>
              <w:jc w:val="center"/>
              <w:rPr>
                <w:sz w:val="22"/>
                <w:szCs w:val="22"/>
                <w:lang w:val="en-US"/>
              </w:rPr>
            </w:pPr>
            <w:r w:rsidRPr="00AA2347">
              <w:rPr>
                <w:sz w:val="22"/>
                <w:szCs w:val="22"/>
                <w:lang w:val="en-US"/>
              </w:rPr>
              <w:t>.011 (.157)</w:t>
            </w:r>
          </w:p>
          <w:p w:rsidR="000C53C2" w:rsidRPr="00AA2347" w:rsidRDefault="000C53C2" w:rsidP="009B5ED1">
            <w:pPr>
              <w:jc w:val="center"/>
              <w:rPr>
                <w:sz w:val="22"/>
                <w:szCs w:val="22"/>
                <w:lang w:val="en-US"/>
              </w:rPr>
            </w:pPr>
          </w:p>
        </w:tc>
        <w:tc>
          <w:tcPr>
            <w:tcW w:w="2696" w:type="dxa"/>
          </w:tcPr>
          <w:p w:rsidR="000C53C2" w:rsidRPr="00AA2347" w:rsidRDefault="000C53C2" w:rsidP="009B5ED1">
            <w:pPr>
              <w:jc w:val="center"/>
              <w:rPr>
                <w:sz w:val="22"/>
                <w:szCs w:val="22"/>
                <w:lang w:val="en-US"/>
              </w:rPr>
            </w:pPr>
            <w:r w:rsidRPr="00AA2347">
              <w:rPr>
                <w:sz w:val="22"/>
                <w:szCs w:val="22"/>
                <w:lang w:val="en-US"/>
              </w:rPr>
              <w:t>.025 (.162)</w:t>
            </w:r>
          </w:p>
        </w:tc>
        <w:tc>
          <w:tcPr>
            <w:tcW w:w="236" w:type="dxa"/>
          </w:tcPr>
          <w:p w:rsidR="000C53C2" w:rsidRPr="00AA2347" w:rsidRDefault="000C53C2" w:rsidP="009B5ED1">
            <w:pPr>
              <w:rPr>
                <w:sz w:val="22"/>
                <w:szCs w:val="22"/>
                <w:lang w:val="en-US"/>
              </w:rPr>
            </w:pPr>
          </w:p>
        </w:tc>
        <w:tc>
          <w:tcPr>
            <w:tcW w:w="236" w:type="dxa"/>
          </w:tcPr>
          <w:p w:rsidR="000C53C2" w:rsidRPr="00AA2347" w:rsidRDefault="000C53C2" w:rsidP="009B5ED1">
            <w:pPr>
              <w:rPr>
                <w:sz w:val="22"/>
                <w:szCs w:val="22"/>
                <w:lang w:val="en-US"/>
              </w:rPr>
            </w:pPr>
          </w:p>
        </w:tc>
      </w:tr>
      <w:tr w:rsidR="000C53C2" w:rsidRPr="00AA2347" w:rsidTr="009B5ED1">
        <w:trPr>
          <w:trHeight w:val="270"/>
        </w:trPr>
        <w:tc>
          <w:tcPr>
            <w:tcW w:w="2520" w:type="dxa"/>
            <w:gridSpan w:val="2"/>
          </w:tcPr>
          <w:p w:rsidR="000C53C2" w:rsidRPr="00AA2347" w:rsidRDefault="000C53C2" w:rsidP="009B5ED1">
            <w:pPr>
              <w:rPr>
                <w:sz w:val="22"/>
                <w:szCs w:val="22"/>
                <w:lang w:val="en-US"/>
              </w:rPr>
            </w:pPr>
            <w:r w:rsidRPr="00AA2347">
              <w:rPr>
                <w:sz w:val="22"/>
                <w:szCs w:val="22"/>
                <w:lang w:val="en-US"/>
              </w:rPr>
              <w:t>Nonsexual recidivism</w:t>
            </w:r>
          </w:p>
        </w:tc>
        <w:tc>
          <w:tcPr>
            <w:tcW w:w="1350" w:type="dxa"/>
          </w:tcPr>
          <w:p w:rsidR="000C53C2" w:rsidRPr="00AA2347" w:rsidRDefault="000C53C2" w:rsidP="009B5ED1">
            <w:pPr>
              <w:spacing w:line="360" w:lineRule="auto"/>
              <w:jc w:val="center"/>
              <w:rPr>
                <w:sz w:val="22"/>
                <w:szCs w:val="22"/>
                <w:lang w:val="en-US"/>
              </w:rPr>
            </w:pPr>
          </w:p>
        </w:tc>
        <w:tc>
          <w:tcPr>
            <w:tcW w:w="2610" w:type="dxa"/>
          </w:tcPr>
          <w:p w:rsidR="000C53C2" w:rsidRPr="00AA2347" w:rsidRDefault="000C53C2" w:rsidP="009B5ED1">
            <w:pPr>
              <w:spacing w:line="360" w:lineRule="auto"/>
              <w:jc w:val="center"/>
              <w:rPr>
                <w:sz w:val="22"/>
                <w:szCs w:val="22"/>
                <w:lang w:val="en-US"/>
              </w:rPr>
            </w:pPr>
          </w:p>
        </w:tc>
        <w:tc>
          <w:tcPr>
            <w:tcW w:w="2696" w:type="dxa"/>
          </w:tcPr>
          <w:p w:rsidR="000C53C2" w:rsidRPr="00AA2347" w:rsidRDefault="000C53C2" w:rsidP="009B5ED1">
            <w:pPr>
              <w:spacing w:line="360" w:lineRule="auto"/>
              <w:jc w:val="center"/>
              <w:rPr>
                <w:sz w:val="22"/>
                <w:szCs w:val="22"/>
                <w:lang w:val="en-US"/>
              </w:rPr>
            </w:pPr>
            <w:r w:rsidRPr="00AA2347">
              <w:rPr>
                <w:sz w:val="22"/>
                <w:szCs w:val="22"/>
                <w:lang w:val="en-US"/>
              </w:rPr>
              <w:t>.440 (.125)</w:t>
            </w:r>
          </w:p>
        </w:tc>
        <w:tc>
          <w:tcPr>
            <w:tcW w:w="236" w:type="dxa"/>
          </w:tcPr>
          <w:p w:rsidR="000C53C2" w:rsidRPr="00AA2347" w:rsidRDefault="000C53C2" w:rsidP="009B5ED1">
            <w:pPr>
              <w:spacing w:line="360" w:lineRule="auto"/>
              <w:jc w:val="center"/>
              <w:rPr>
                <w:sz w:val="22"/>
                <w:szCs w:val="22"/>
                <w:lang w:val="en-US"/>
              </w:rPr>
            </w:pPr>
          </w:p>
        </w:tc>
        <w:tc>
          <w:tcPr>
            <w:tcW w:w="236" w:type="dxa"/>
          </w:tcPr>
          <w:p w:rsidR="000C53C2" w:rsidRPr="00AA2347" w:rsidRDefault="000C53C2" w:rsidP="009B5ED1">
            <w:pPr>
              <w:jc w:val="center"/>
              <w:rPr>
                <w:sz w:val="22"/>
                <w:szCs w:val="22"/>
                <w:lang w:val="en-US"/>
              </w:rPr>
            </w:pPr>
          </w:p>
        </w:tc>
      </w:tr>
      <w:tr w:rsidR="000C53C2" w:rsidRPr="00AA2347" w:rsidTr="009B5ED1">
        <w:trPr>
          <w:trHeight w:val="270"/>
        </w:trPr>
        <w:tc>
          <w:tcPr>
            <w:tcW w:w="2520" w:type="dxa"/>
            <w:gridSpan w:val="2"/>
          </w:tcPr>
          <w:p w:rsidR="000C53C2" w:rsidRPr="00AA2347" w:rsidRDefault="000C53C2" w:rsidP="009B5ED1">
            <w:pPr>
              <w:rPr>
                <w:sz w:val="22"/>
                <w:szCs w:val="22"/>
                <w:lang w:val="en-US"/>
              </w:rPr>
            </w:pPr>
            <w:r w:rsidRPr="00AA2347">
              <w:rPr>
                <w:sz w:val="22"/>
                <w:szCs w:val="22"/>
                <w:lang w:val="en-US"/>
              </w:rPr>
              <w:t>-2LL</w:t>
            </w:r>
          </w:p>
        </w:tc>
        <w:tc>
          <w:tcPr>
            <w:tcW w:w="1350" w:type="dxa"/>
          </w:tcPr>
          <w:p w:rsidR="000C53C2" w:rsidRPr="00AA2347" w:rsidRDefault="000C53C2" w:rsidP="009B5ED1">
            <w:pPr>
              <w:spacing w:line="360" w:lineRule="auto"/>
              <w:jc w:val="center"/>
              <w:rPr>
                <w:sz w:val="22"/>
                <w:szCs w:val="22"/>
                <w:lang w:val="en-US"/>
              </w:rPr>
            </w:pPr>
          </w:p>
        </w:tc>
        <w:tc>
          <w:tcPr>
            <w:tcW w:w="2610" w:type="dxa"/>
          </w:tcPr>
          <w:p w:rsidR="000C53C2" w:rsidRPr="00AA2347" w:rsidRDefault="000C53C2" w:rsidP="009B5ED1">
            <w:pPr>
              <w:spacing w:line="360" w:lineRule="auto"/>
              <w:jc w:val="center"/>
              <w:rPr>
                <w:sz w:val="22"/>
                <w:szCs w:val="22"/>
                <w:lang w:val="en-US"/>
              </w:rPr>
            </w:pPr>
            <w:r w:rsidRPr="00AA2347">
              <w:rPr>
                <w:sz w:val="22"/>
                <w:szCs w:val="22"/>
                <w:lang w:val="en-US"/>
              </w:rPr>
              <w:t>3578.81</w:t>
            </w:r>
          </w:p>
        </w:tc>
        <w:tc>
          <w:tcPr>
            <w:tcW w:w="2696" w:type="dxa"/>
          </w:tcPr>
          <w:p w:rsidR="000C53C2" w:rsidRPr="00AA2347" w:rsidRDefault="000C53C2" w:rsidP="009B5ED1">
            <w:pPr>
              <w:spacing w:line="360" w:lineRule="auto"/>
              <w:jc w:val="center"/>
              <w:rPr>
                <w:sz w:val="22"/>
                <w:szCs w:val="22"/>
                <w:lang w:val="en-US"/>
              </w:rPr>
            </w:pPr>
            <w:r w:rsidRPr="00AA2347">
              <w:rPr>
                <w:sz w:val="22"/>
                <w:szCs w:val="22"/>
                <w:lang w:val="en-US"/>
              </w:rPr>
              <w:t>3566.67</w:t>
            </w:r>
          </w:p>
        </w:tc>
        <w:tc>
          <w:tcPr>
            <w:tcW w:w="236" w:type="dxa"/>
          </w:tcPr>
          <w:p w:rsidR="000C53C2" w:rsidRPr="00AA2347" w:rsidRDefault="000C53C2" w:rsidP="009B5ED1">
            <w:pPr>
              <w:spacing w:line="360" w:lineRule="auto"/>
              <w:jc w:val="center"/>
              <w:rPr>
                <w:sz w:val="22"/>
                <w:szCs w:val="22"/>
                <w:lang w:val="en-US"/>
              </w:rPr>
            </w:pPr>
          </w:p>
        </w:tc>
        <w:tc>
          <w:tcPr>
            <w:tcW w:w="236" w:type="dxa"/>
          </w:tcPr>
          <w:p w:rsidR="000C53C2" w:rsidRPr="00AA2347" w:rsidRDefault="000C53C2" w:rsidP="009B5ED1">
            <w:pPr>
              <w:jc w:val="center"/>
              <w:rPr>
                <w:sz w:val="22"/>
                <w:szCs w:val="22"/>
                <w:lang w:val="en-US"/>
              </w:rPr>
            </w:pPr>
          </w:p>
        </w:tc>
      </w:tr>
      <w:tr w:rsidR="000C53C2" w:rsidRPr="00AA2347" w:rsidTr="009B5ED1">
        <w:trPr>
          <w:trHeight w:val="315"/>
        </w:trPr>
        <w:tc>
          <w:tcPr>
            <w:tcW w:w="2520" w:type="dxa"/>
            <w:gridSpan w:val="2"/>
          </w:tcPr>
          <w:p w:rsidR="000C53C2" w:rsidRPr="00AA2347" w:rsidRDefault="000C53C2" w:rsidP="009B5ED1">
            <w:pPr>
              <w:rPr>
                <w:sz w:val="22"/>
                <w:szCs w:val="22"/>
                <w:lang w:val="en-US"/>
              </w:rPr>
            </w:pPr>
            <w:r w:rsidRPr="00AA2347">
              <w:rPr>
                <w:sz w:val="22"/>
                <w:szCs w:val="22"/>
                <w:lang w:val="en-US"/>
              </w:rPr>
              <w:t>K</w:t>
            </w:r>
          </w:p>
        </w:tc>
        <w:tc>
          <w:tcPr>
            <w:tcW w:w="1350" w:type="dxa"/>
          </w:tcPr>
          <w:p w:rsidR="000C53C2" w:rsidRPr="00AA2347" w:rsidRDefault="000C53C2" w:rsidP="009B5ED1">
            <w:pPr>
              <w:jc w:val="center"/>
              <w:rPr>
                <w:sz w:val="22"/>
                <w:szCs w:val="22"/>
                <w:lang w:val="en-US"/>
              </w:rPr>
            </w:pPr>
          </w:p>
        </w:tc>
        <w:tc>
          <w:tcPr>
            <w:tcW w:w="2610" w:type="dxa"/>
          </w:tcPr>
          <w:p w:rsidR="000C53C2" w:rsidRPr="00AA2347" w:rsidRDefault="000C53C2" w:rsidP="009B5ED1">
            <w:pPr>
              <w:jc w:val="center"/>
              <w:rPr>
                <w:sz w:val="22"/>
                <w:szCs w:val="22"/>
                <w:lang w:val="en-US"/>
              </w:rPr>
            </w:pPr>
            <w:r w:rsidRPr="00AA2347">
              <w:rPr>
                <w:sz w:val="22"/>
                <w:szCs w:val="22"/>
                <w:lang w:val="en-US"/>
              </w:rPr>
              <w:t>9</w:t>
            </w:r>
          </w:p>
        </w:tc>
        <w:tc>
          <w:tcPr>
            <w:tcW w:w="2696" w:type="dxa"/>
          </w:tcPr>
          <w:p w:rsidR="000C53C2" w:rsidRPr="00AA2347" w:rsidRDefault="000C53C2" w:rsidP="009B5ED1">
            <w:pPr>
              <w:jc w:val="center"/>
              <w:rPr>
                <w:sz w:val="22"/>
                <w:szCs w:val="22"/>
                <w:lang w:val="en-US"/>
              </w:rPr>
            </w:pPr>
            <w:r w:rsidRPr="00AA2347">
              <w:rPr>
                <w:sz w:val="22"/>
                <w:szCs w:val="22"/>
                <w:lang w:val="en-US"/>
              </w:rPr>
              <w:t>10</w:t>
            </w:r>
          </w:p>
        </w:tc>
        <w:tc>
          <w:tcPr>
            <w:tcW w:w="236" w:type="dxa"/>
          </w:tcPr>
          <w:p w:rsidR="000C53C2" w:rsidRPr="00AA2347" w:rsidRDefault="000C53C2" w:rsidP="009B5ED1">
            <w:pPr>
              <w:jc w:val="center"/>
              <w:rPr>
                <w:sz w:val="22"/>
                <w:szCs w:val="22"/>
                <w:lang w:val="en-US"/>
              </w:rPr>
            </w:pPr>
          </w:p>
        </w:tc>
        <w:tc>
          <w:tcPr>
            <w:tcW w:w="236" w:type="dxa"/>
          </w:tcPr>
          <w:p w:rsidR="000C53C2" w:rsidRPr="00AA2347" w:rsidRDefault="000C53C2" w:rsidP="009B5ED1">
            <w:pPr>
              <w:jc w:val="center"/>
              <w:rPr>
                <w:sz w:val="22"/>
                <w:szCs w:val="22"/>
                <w:lang w:val="en-US"/>
              </w:rPr>
            </w:pPr>
          </w:p>
        </w:tc>
      </w:tr>
      <w:tr w:rsidR="000C53C2" w:rsidRPr="00AA2347" w:rsidTr="009B5ED1">
        <w:trPr>
          <w:trHeight w:val="423"/>
        </w:trPr>
        <w:tc>
          <w:tcPr>
            <w:tcW w:w="2520" w:type="dxa"/>
            <w:gridSpan w:val="2"/>
          </w:tcPr>
          <w:p w:rsidR="000C53C2" w:rsidRPr="00AA2347" w:rsidRDefault="000C53C2" w:rsidP="009B5ED1">
            <w:pPr>
              <w:rPr>
                <w:sz w:val="22"/>
                <w:szCs w:val="22"/>
                <w:lang w:val="en-US"/>
              </w:rPr>
            </w:pPr>
            <w:r w:rsidRPr="00AA2347">
              <w:rPr>
                <w:sz w:val="22"/>
                <w:szCs w:val="22"/>
                <w:lang w:val="en-US"/>
              </w:rPr>
              <w:t>AIC (-2LL+2K)</w:t>
            </w:r>
          </w:p>
        </w:tc>
        <w:tc>
          <w:tcPr>
            <w:tcW w:w="1350" w:type="dxa"/>
          </w:tcPr>
          <w:p w:rsidR="000C53C2" w:rsidRPr="00AA2347" w:rsidRDefault="000C53C2" w:rsidP="009B5ED1">
            <w:pPr>
              <w:jc w:val="center"/>
              <w:rPr>
                <w:sz w:val="22"/>
                <w:szCs w:val="22"/>
                <w:lang w:val="en-US"/>
              </w:rPr>
            </w:pPr>
          </w:p>
        </w:tc>
        <w:tc>
          <w:tcPr>
            <w:tcW w:w="2610" w:type="dxa"/>
          </w:tcPr>
          <w:p w:rsidR="000C53C2" w:rsidRPr="00AA2347" w:rsidRDefault="000C53C2" w:rsidP="009B5ED1">
            <w:pPr>
              <w:jc w:val="center"/>
              <w:rPr>
                <w:sz w:val="22"/>
                <w:szCs w:val="22"/>
                <w:lang w:val="en-US"/>
              </w:rPr>
            </w:pPr>
            <w:r w:rsidRPr="00AA2347">
              <w:rPr>
                <w:sz w:val="22"/>
                <w:szCs w:val="22"/>
                <w:lang w:val="en-US"/>
              </w:rPr>
              <w:t>3596.81</w:t>
            </w:r>
          </w:p>
        </w:tc>
        <w:tc>
          <w:tcPr>
            <w:tcW w:w="2696" w:type="dxa"/>
          </w:tcPr>
          <w:p w:rsidR="000C53C2" w:rsidRPr="00AA2347" w:rsidRDefault="000C53C2" w:rsidP="009B5ED1">
            <w:pPr>
              <w:jc w:val="center"/>
              <w:rPr>
                <w:sz w:val="22"/>
                <w:szCs w:val="22"/>
                <w:lang w:val="en-US"/>
              </w:rPr>
            </w:pPr>
            <w:r w:rsidRPr="00AA2347">
              <w:rPr>
                <w:sz w:val="22"/>
                <w:szCs w:val="22"/>
                <w:lang w:val="en-US"/>
              </w:rPr>
              <w:t>3586.67</w:t>
            </w:r>
          </w:p>
        </w:tc>
        <w:tc>
          <w:tcPr>
            <w:tcW w:w="236" w:type="dxa"/>
          </w:tcPr>
          <w:p w:rsidR="000C53C2" w:rsidRPr="00AA2347" w:rsidRDefault="000C53C2" w:rsidP="009B5ED1">
            <w:pPr>
              <w:jc w:val="center"/>
              <w:rPr>
                <w:sz w:val="22"/>
                <w:szCs w:val="22"/>
                <w:lang w:val="en-US"/>
              </w:rPr>
            </w:pPr>
          </w:p>
        </w:tc>
        <w:tc>
          <w:tcPr>
            <w:tcW w:w="236" w:type="dxa"/>
          </w:tcPr>
          <w:p w:rsidR="000C53C2" w:rsidRPr="00AA2347" w:rsidRDefault="000C53C2" w:rsidP="009B5ED1">
            <w:pPr>
              <w:jc w:val="center"/>
              <w:rPr>
                <w:sz w:val="22"/>
                <w:szCs w:val="22"/>
                <w:lang w:val="en-US"/>
              </w:rPr>
            </w:pPr>
          </w:p>
        </w:tc>
      </w:tr>
      <w:tr w:rsidR="000C53C2" w:rsidRPr="00AA2347" w:rsidTr="009B5ED1">
        <w:trPr>
          <w:trHeight w:val="414"/>
        </w:trPr>
        <w:tc>
          <w:tcPr>
            <w:tcW w:w="2520" w:type="dxa"/>
            <w:gridSpan w:val="2"/>
          </w:tcPr>
          <w:p w:rsidR="000C53C2" w:rsidRPr="00AA2347" w:rsidRDefault="000C53C2" w:rsidP="009B5ED1">
            <w:pPr>
              <w:rPr>
                <w:sz w:val="22"/>
                <w:szCs w:val="22"/>
                <w:lang w:val="en-US"/>
              </w:rPr>
            </w:pPr>
            <w:r w:rsidRPr="00AA2347">
              <w:rPr>
                <w:sz w:val="22"/>
                <w:szCs w:val="22"/>
                <w:lang w:val="en-US"/>
              </w:rPr>
              <w:t xml:space="preserve">Change </w:t>
            </w:r>
          </w:p>
        </w:tc>
        <w:tc>
          <w:tcPr>
            <w:tcW w:w="1350" w:type="dxa"/>
          </w:tcPr>
          <w:p w:rsidR="000C53C2" w:rsidRPr="00AA2347" w:rsidRDefault="000C53C2" w:rsidP="009B5ED1">
            <w:pPr>
              <w:jc w:val="center"/>
              <w:rPr>
                <w:sz w:val="22"/>
                <w:szCs w:val="22"/>
                <w:lang w:val="en-US"/>
              </w:rPr>
            </w:pPr>
          </w:p>
        </w:tc>
        <w:tc>
          <w:tcPr>
            <w:tcW w:w="2610" w:type="dxa"/>
          </w:tcPr>
          <w:p w:rsidR="000C53C2" w:rsidRPr="00AA2347" w:rsidRDefault="000C53C2" w:rsidP="009B5ED1">
            <w:pPr>
              <w:jc w:val="center"/>
              <w:rPr>
                <w:sz w:val="22"/>
                <w:szCs w:val="22"/>
                <w:lang w:val="en-US"/>
              </w:rPr>
            </w:pPr>
          </w:p>
        </w:tc>
        <w:tc>
          <w:tcPr>
            <w:tcW w:w="2696" w:type="dxa"/>
          </w:tcPr>
          <w:p w:rsidR="000C53C2" w:rsidRPr="00AA2347" w:rsidRDefault="000C53C2" w:rsidP="009B5ED1">
            <w:pPr>
              <w:jc w:val="center"/>
              <w:rPr>
                <w:sz w:val="22"/>
                <w:szCs w:val="22"/>
                <w:lang w:val="en-US"/>
              </w:rPr>
            </w:pPr>
            <w:r w:rsidRPr="00AA2347">
              <w:rPr>
                <w:sz w:val="22"/>
                <w:szCs w:val="22"/>
                <w:lang w:val="en-US"/>
              </w:rPr>
              <w:t>-10.14</w:t>
            </w:r>
          </w:p>
        </w:tc>
        <w:tc>
          <w:tcPr>
            <w:tcW w:w="236" w:type="dxa"/>
          </w:tcPr>
          <w:p w:rsidR="000C53C2" w:rsidRPr="00AA2347" w:rsidRDefault="000C53C2" w:rsidP="009B5ED1">
            <w:pPr>
              <w:jc w:val="center"/>
              <w:rPr>
                <w:sz w:val="22"/>
                <w:szCs w:val="22"/>
                <w:lang w:val="en-US"/>
              </w:rPr>
            </w:pPr>
          </w:p>
        </w:tc>
        <w:tc>
          <w:tcPr>
            <w:tcW w:w="236" w:type="dxa"/>
          </w:tcPr>
          <w:p w:rsidR="000C53C2" w:rsidRPr="00AA2347" w:rsidRDefault="000C53C2" w:rsidP="009B5ED1">
            <w:pPr>
              <w:jc w:val="center"/>
              <w:rPr>
                <w:sz w:val="22"/>
                <w:szCs w:val="22"/>
                <w:lang w:val="en-US"/>
              </w:rPr>
            </w:pPr>
          </w:p>
        </w:tc>
      </w:tr>
      <w:tr w:rsidR="000C53C2" w:rsidRPr="00AA2347" w:rsidTr="009B5ED1">
        <w:tc>
          <w:tcPr>
            <w:tcW w:w="2520" w:type="dxa"/>
            <w:gridSpan w:val="2"/>
          </w:tcPr>
          <w:p w:rsidR="000C53C2" w:rsidRPr="00AA2347" w:rsidRDefault="000C53C2" w:rsidP="009B5ED1">
            <w:pPr>
              <w:rPr>
                <w:sz w:val="22"/>
                <w:szCs w:val="22"/>
                <w:lang w:val="en-US"/>
              </w:rPr>
            </w:pPr>
            <w:r w:rsidRPr="00AA2347">
              <w:rPr>
                <w:sz w:val="22"/>
                <w:szCs w:val="22"/>
                <w:lang w:val="en-US"/>
              </w:rPr>
              <w:t>BIC (-2LL+K*[5.762])</w:t>
            </w:r>
          </w:p>
        </w:tc>
        <w:tc>
          <w:tcPr>
            <w:tcW w:w="1350" w:type="dxa"/>
          </w:tcPr>
          <w:p w:rsidR="000C53C2" w:rsidRPr="00AA2347" w:rsidRDefault="000C53C2" w:rsidP="009B5ED1">
            <w:pPr>
              <w:jc w:val="center"/>
              <w:rPr>
                <w:sz w:val="22"/>
                <w:szCs w:val="22"/>
                <w:lang w:val="en-US"/>
              </w:rPr>
            </w:pPr>
          </w:p>
        </w:tc>
        <w:tc>
          <w:tcPr>
            <w:tcW w:w="2610" w:type="dxa"/>
          </w:tcPr>
          <w:p w:rsidR="000C53C2" w:rsidRPr="00AA2347" w:rsidRDefault="000C53C2" w:rsidP="009B5ED1">
            <w:pPr>
              <w:jc w:val="center"/>
              <w:rPr>
                <w:sz w:val="22"/>
                <w:szCs w:val="22"/>
                <w:lang w:val="en-US"/>
              </w:rPr>
            </w:pPr>
            <w:r w:rsidRPr="00AA2347">
              <w:rPr>
                <w:sz w:val="22"/>
                <w:szCs w:val="22"/>
                <w:lang w:val="en-US"/>
              </w:rPr>
              <w:t>3630.67</w:t>
            </w:r>
          </w:p>
        </w:tc>
        <w:tc>
          <w:tcPr>
            <w:tcW w:w="2696" w:type="dxa"/>
          </w:tcPr>
          <w:p w:rsidR="000C53C2" w:rsidRPr="00AA2347" w:rsidRDefault="000C53C2" w:rsidP="009B5ED1">
            <w:pPr>
              <w:jc w:val="center"/>
              <w:rPr>
                <w:sz w:val="22"/>
                <w:szCs w:val="22"/>
                <w:lang w:val="en-US"/>
              </w:rPr>
            </w:pPr>
            <w:r w:rsidRPr="00AA2347">
              <w:rPr>
                <w:sz w:val="22"/>
                <w:szCs w:val="22"/>
                <w:lang w:val="en-US"/>
              </w:rPr>
              <w:t>3624.29</w:t>
            </w:r>
          </w:p>
        </w:tc>
        <w:tc>
          <w:tcPr>
            <w:tcW w:w="236" w:type="dxa"/>
          </w:tcPr>
          <w:p w:rsidR="000C53C2" w:rsidRPr="00AA2347" w:rsidRDefault="000C53C2" w:rsidP="009B5ED1">
            <w:pPr>
              <w:jc w:val="center"/>
              <w:rPr>
                <w:sz w:val="22"/>
                <w:szCs w:val="22"/>
                <w:lang w:val="en-US"/>
              </w:rPr>
            </w:pPr>
          </w:p>
        </w:tc>
        <w:tc>
          <w:tcPr>
            <w:tcW w:w="236" w:type="dxa"/>
          </w:tcPr>
          <w:p w:rsidR="000C53C2" w:rsidRPr="00AA2347" w:rsidRDefault="000C53C2" w:rsidP="009B5ED1">
            <w:pPr>
              <w:jc w:val="center"/>
              <w:rPr>
                <w:sz w:val="22"/>
                <w:szCs w:val="22"/>
                <w:lang w:val="en-US"/>
              </w:rPr>
            </w:pPr>
          </w:p>
        </w:tc>
      </w:tr>
      <w:tr w:rsidR="000C53C2" w:rsidRPr="00AA2347" w:rsidTr="009B5ED1">
        <w:trPr>
          <w:trHeight w:val="756"/>
        </w:trPr>
        <w:tc>
          <w:tcPr>
            <w:tcW w:w="2520" w:type="dxa"/>
            <w:gridSpan w:val="2"/>
          </w:tcPr>
          <w:p w:rsidR="000C53C2" w:rsidRPr="00AA2347" w:rsidRDefault="000C53C2" w:rsidP="009B5ED1">
            <w:pPr>
              <w:rPr>
                <w:sz w:val="22"/>
                <w:szCs w:val="22"/>
                <w:lang w:val="en-US"/>
              </w:rPr>
            </w:pPr>
            <w:r w:rsidRPr="00AA2347">
              <w:rPr>
                <w:sz w:val="22"/>
                <w:szCs w:val="22"/>
                <w:lang w:val="en-US"/>
              </w:rPr>
              <w:t>Change</w:t>
            </w:r>
          </w:p>
          <w:p w:rsidR="000C53C2" w:rsidRPr="00AA2347" w:rsidRDefault="000C53C2" w:rsidP="009B5ED1">
            <w:pPr>
              <w:rPr>
                <w:sz w:val="22"/>
                <w:szCs w:val="22"/>
                <w:lang w:val="en-US"/>
              </w:rPr>
            </w:pPr>
          </w:p>
        </w:tc>
        <w:tc>
          <w:tcPr>
            <w:tcW w:w="1350" w:type="dxa"/>
          </w:tcPr>
          <w:p w:rsidR="000C53C2" w:rsidRPr="00AA2347" w:rsidRDefault="000C53C2" w:rsidP="009B5ED1">
            <w:pPr>
              <w:jc w:val="center"/>
              <w:rPr>
                <w:sz w:val="22"/>
                <w:szCs w:val="22"/>
                <w:lang w:val="en-US"/>
              </w:rPr>
            </w:pPr>
          </w:p>
        </w:tc>
        <w:tc>
          <w:tcPr>
            <w:tcW w:w="2610" w:type="dxa"/>
          </w:tcPr>
          <w:p w:rsidR="000C53C2" w:rsidRPr="00AA2347" w:rsidRDefault="000C53C2" w:rsidP="009B5ED1">
            <w:pPr>
              <w:jc w:val="center"/>
              <w:rPr>
                <w:sz w:val="22"/>
                <w:szCs w:val="22"/>
                <w:lang w:val="en-US"/>
              </w:rPr>
            </w:pPr>
          </w:p>
        </w:tc>
        <w:tc>
          <w:tcPr>
            <w:tcW w:w="2696" w:type="dxa"/>
          </w:tcPr>
          <w:p w:rsidR="000C53C2" w:rsidRPr="00AA2347" w:rsidRDefault="000C53C2" w:rsidP="009B5ED1">
            <w:pPr>
              <w:jc w:val="center"/>
              <w:rPr>
                <w:sz w:val="22"/>
                <w:szCs w:val="22"/>
                <w:lang w:val="en-US"/>
              </w:rPr>
            </w:pPr>
            <w:r w:rsidRPr="00AA2347">
              <w:rPr>
                <w:sz w:val="22"/>
                <w:szCs w:val="22"/>
                <w:lang w:val="en-US"/>
              </w:rPr>
              <w:t>-6.38</w:t>
            </w:r>
          </w:p>
          <w:p w:rsidR="000C53C2" w:rsidRPr="00AA2347" w:rsidRDefault="000C53C2" w:rsidP="009B5ED1">
            <w:pPr>
              <w:jc w:val="center"/>
              <w:rPr>
                <w:sz w:val="22"/>
                <w:szCs w:val="22"/>
                <w:lang w:val="en-US"/>
              </w:rPr>
            </w:pPr>
            <w:r w:rsidRPr="00AA2347">
              <w:rPr>
                <w:sz w:val="22"/>
                <w:szCs w:val="22"/>
                <w:lang w:val="en-US"/>
              </w:rPr>
              <w:t>(from Model 5a)</w:t>
            </w:r>
          </w:p>
        </w:tc>
        <w:tc>
          <w:tcPr>
            <w:tcW w:w="236" w:type="dxa"/>
          </w:tcPr>
          <w:p w:rsidR="000C53C2" w:rsidRPr="00AA2347" w:rsidRDefault="000C53C2" w:rsidP="009B5ED1">
            <w:pPr>
              <w:jc w:val="center"/>
              <w:rPr>
                <w:sz w:val="22"/>
                <w:szCs w:val="22"/>
                <w:lang w:val="en-US"/>
              </w:rPr>
            </w:pPr>
          </w:p>
        </w:tc>
        <w:tc>
          <w:tcPr>
            <w:tcW w:w="236" w:type="dxa"/>
          </w:tcPr>
          <w:p w:rsidR="000C53C2" w:rsidRPr="00AA2347" w:rsidRDefault="000C53C2" w:rsidP="009B5ED1">
            <w:pPr>
              <w:jc w:val="center"/>
              <w:rPr>
                <w:sz w:val="22"/>
                <w:szCs w:val="22"/>
                <w:lang w:val="en-US"/>
              </w:rPr>
            </w:pPr>
          </w:p>
        </w:tc>
      </w:tr>
      <w:tr w:rsidR="000C53C2" w:rsidRPr="00AA2347" w:rsidTr="009B5ED1">
        <w:tc>
          <w:tcPr>
            <w:tcW w:w="2520" w:type="dxa"/>
            <w:gridSpan w:val="2"/>
          </w:tcPr>
          <w:p w:rsidR="000C53C2" w:rsidRPr="00AA2347" w:rsidRDefault="000C53C2" w:rsidP="009B5ED1">
            <w:pPr>
              <w:rPr>
                <w:sz w:val="22"/>
                <w:szCs w:val="22"/>
                <w:lang w:val="en-US"/>
              </w:rPr>
            </w:pPr>
            <w:r w:rsidRPr="00AA2347">
              <w:rPr>
                <w:sz w:val="22"/>
                <w:szCs w:val="22"/>
                <w:lang w:val="en-US"/>
              </w:rPr>
              <w:t>Hosmer-Lemeshow χ</w:t>
            </w:r>
            <w:r w:rsidRPr="00AA2347">
              <w:rPr>
                <w:sz w:val="22"/>
                <w:szCs w:val="22"/>
                <w:vertAlign w:val="superscript"/>
                <w:lang w:val="en-US"/>
              </w:rPr>
              <w:t xml:space="preserve">2 </w:t>
            </w:r>
            <w:r w:rsidRPr="00AA2347">
              <w:rPr>
                <w:i/>
                <w:sz w:val="22"/>
                <w:szCs w:val="22"/>
                <w:lang w:val="en-US"/>
              </w:rPr>
              <w:t>(p</w:t>
            </w:r>
            <w:r w:rsidRPr="00AA2347">
              <w:rPr>
                <w:sz w:val="22"/>
                <w:szCs w:val="22"/>
                <w:lang w:val="en-US"/>
              </w:rPr>
              <w:t>)</w:t>
            </w:r>
          </w:p>
          <w:p w:rsidR="000C53C2" w:rsidRPr="00AA2347" w:rsidRDefault="000C53C2" w:rsidP="009B5ED1">
            <w:pPr>
              <w:rPr>
                <w:sz w:val="22"/>
                <w:szCs w:val="22"/>
                <w:lang w:val="en-US"/>
              </w:rPr>
            </w:pPr>
          </w:p>
        </w:tc>
        <w:tc>
          <w:tcPr>
            <w:tcW w:w="1350" w:type="dxa"/>
            <w:tcBorders>
              <w:left w:val="nil"/>
            </w:tcBorders>
          </w:tcPr>
          <w:p w:rsidR="000C53C2" w:rsidRPr="00AA2347" w:rsidRDefault="000C53C2" w:rsidP="009B5ED1">
            <w:pPr>
              <w:jc w:val="center"/>
              <w:rPr>
                <w:sz w:val="22"/>
                <w:szCs w:val="22"/>
                <w:lang w:val="en-US"/>
              </w:rPr>
            </w:pPr>
          </w:p>
        </w:tc>
        <w:tc>
          <w:tcPr>
            <w:tcW w:w="2610" w:type="dxa"/>
          </w:tcPr>
          <w:p w:rsidR="000C53C2" w:rsidRPr="00AA2347" w:rsidRDefault="000C53C2" w:rsidP="009B5ED1">
            <w:pPr>
              <w:jc w:val="center"/>
              <w:rPr>
                <w:sz w:val="22"/>
                <w:szCs w:val="22"/>
                <w:lang w:val="en-US"/>
              </w:rPr>
            </w:pPr>
            <w:r w:rsidRPr="00AA2347">
              <w:rPr>
                <w:sz w:val="22"/>
                <w:szCs w:val="22"/>
                <w:lang w:val="en-US"/>
              </w:rPr>
              <w:t>4.27 (.83)</w:t>
            </w:r>
          </w:p>
        </w:tc>
        <w:tc>
          <w:tcPr>
            <w:tcW w:w="2696" w:type="dxa"/>
          </w:tcPr>
          <w:p w:rsidR="000C53C2" w:rsidRPr="00AA2347" w:rsidRDefault="000C53C2" w:rsidP="009B5ED1">
            <w:pPr>
              <w:jc w:val="center"/>
              <w:rPr>
                <w:sz w:val="22"/>
                <w:szCs w:val="22"/>
                <w:lang w:val="en-US"/>
              </w:rPr>
            </w:pPr>
            <w:r w:rsidRPr="00AA2347">
              <w:rPr>
                <w:sz w:val="22"/>
                <w:szCs w:val="22"/>
                <w:lang w:val="en-US"/>
              </w:rPr>
              <w:t>13.25 (.10)</w:t>
            </w:r>
          </w:p>
        </w:tc>
        <w:tc>
          <w:tcPr>
            <w:tcW w:w="236" w:type="dxa"/>
          </w:tcPr>
          <w:p w:rsidR="000C53C2" w:rsidRPr="00AA2347" w:rsidRDefault="000C53C2" w:rsidP="009B5ED1">
            <w:pPr>
              <w:jc w:val="center"/>
              <w:rPr>
                <w:sz w:val="22"/>
                <w:szCs w:val="22"/>
                <w:lang w:val="en-US"/>
              </w:rPr>
            </w:pPr>
          </w:p>
        </w:tc>
        <w:tc>
          <w:tcPr>
            <w:tcW w:w="236" w:type="dxa"/>
          </w:tcPr>
          <w:p w:rsidR="000C53C2" w:rsidRPr="00AA2347" w:rsidRDefault="000C53C2" w:rsidP="009B5ED1">
            <w:pPr>
              <w:jc w:val="center"/>
              <w:rPr>
                <w:sz w:val="22"/>
                <w:szCs w:val="22"/>
                <w:lang w:val="en-US"/>
              </w:rPr>
            </w:pPr>
          </w:p>
        </w:tc>
      </w:tr>
      <w:tr w:rsidR="000C53C2" w:rsidRPr="00AA2347" w:rsidTr="009B5ED1">
        <w:trPr>
          <w:trHeight w:val="369"/>
        </w:trPr>
        <w:tc>
          <w:tcPr>
            <w:tcW w:w="2520" w:type="dxa"/>
            <w:gridSpan w:val="2"/>
            <w:tcBorders>
              <w:bottom w:val="single" w:sz="4" w:space="0" w:color="auto"/>
            </w:tcBorders>
          </w:tcPr>
          <w:p w:rsidR="000C53C2" w:rsidRPr="00AA2347" w:rsidRDefault="000C53C2" w:rsidP="009B5ED1">
            <w:pPr>
              <w:rPr>
                <w:sz w:val="22"/>
                <w:szCs w:val="22"/>
              </w:rPr>
            </w:pPr>
            <w:r w:rsidRPr="00AA2347">
              <w:rPr>
                <w:sz w:val="22"/>
                <w:szCs w:val="22"/>
              </w:rPr>
              <w:t>AUC</w:t>
            </w:r>
          </w:p>
        </w:tc>
        <w:tc>
          <w:tcPr>
            <w:tcW w:w="1350" w:type="dxa"/>
            <w:tcBorders>
              <w:left w:val="nil"/>
              <w:bottom w:val="single" w:sz="4" w:space="0" w:color="auto"/>
            </w:tcBorders>
          </w:tcPr>
          <w:p w:rsidR="000C53C2" w:rsidRPr="00AA2347" w:rsidRDefault="000C53C2" w:rsidP="009B5ED1">
            <w:pPr>
              <w:jc w:val="center"/>
              <w:rPr>
                <w:sz w:val="22"/>
                <w:szCs w:val="22"/>
                <w:lang w:val="en-US"/>
              </w:rPr>
            </w:pPr>
          </w:p>
        </w:tc>
        <w:tc>
          <w:tcPr>
            <w:tcW w:w="2610" w:type="dxa"/>
            <w:tcBorders>
              <w:bottom w:val="single" w:sz="4" w:space="0" w:color="auto"/>
            </w:tcBorders>
          </w:tcPr>
          <w:p w:rsidR="000C53C2" w:rsidRPr="00AA2347" w:rsidRDefault="000C53C2" w:rsidP="009B5ED1">
            <w:pPr>
              <w:jc w:val="center"/>
              <w:rPr>
                <w:sz w:val="22"/>
                <w:szCs w:val="22"/>
                <w:lang w:val="en-US"/>
              </w:rPr>
            </w:pPr>
            <w:r w:rsidRPr="00AA2347">
              <w:rPr>
                <w:sz w:val="22"/>
                <w:szCs w:val="22"/>
                <w:lang w:val="en-US"/>
              </w:rPr>
              <w:t>.747</w:t>
            </w:r>
          </w:p>
        </w:tc>
        <w:tc>
          <w:tcPr>
            <w:tcW w:w="2696" w:type="dxa"/>
            <w:tcBorders>
              <w:bottom w:val="single" w:sz="4" w:space="0" w:color="auto"/>
            </w:tcBorders>
          </w:tcPr>
          <w:p w:rsidR="000C53C2" w:rsidRPr="00AA2347" w:rsidRDefault="000C53C2" w:rsidP="009B5ED1">
            <w:pPr>
              <w:jc w:val="center"/>
              <w:rPr>
                <w:sz w:val="22"/>
                <w:szCs w:val="22"/>
                <w:lang w:val="en-US"/>
              </w:rPr>
            </w:pPr>
            <w:r w:rsidRPr="00AA2347">
              <w:rPr>
                <w:sz w:val="22"/>
                <w:szCs w:val="22"/>
                <w:lang w:val="en-US"/>
              </w:rPr>
              <w:t>.755</w:t>
            </w:r>
          </w:p>
        </w:tc>
        <w:tc>
          <w:tcPr>
            <w:tcW w:w="236" w:type="dxa"/>
            <w:tcBorders>
              <w:bottom w:val="single" w:sz="4" w:space="0" w:color="auto"/>
            </w:tcBorders>
          </w:tcPr>
          <w:p w:rsidR="000C53C2" w:rsidRPr="00AA2347" w:rsidRDefault="000C53C2" w:rsidP="009B5ED1">
            <w:pPr>
              <w:jc w:val="center"/>
              <w:rPr>
                <w:sz w:val="22"/>
                <w:szCs w:val="22"/>
                <w:lang w:val="en-US"/>
              </w:rPr>
            </w:pPr>
          </w:p>
        </w:tc>
        <w:tc>
          <w:tcPr>
            <w:tcW w:w="236" w:type="dxa"/>
            <w:tcBorders>
              <w:bottom w:val="single" w:sz="4" w:space="0" w:color="auto"/>
            </w:tcBorders>
          </w:tcPr>
          <w:p w:rsidR="000C53C2" w:rsidRPr="00AA2347" w:rsidRDefault="000C53C2" w:rsidP="009B5ED1">
            <w:pPr>
              <w:jc w:val="center"/>
              <w:rPr>
                <w:sz w:val="22"/>
                <w:szCs w:val="22"/>
                <w:lang w:val="en-US"/>
              </w:rPr>
            </w:pPr>
          </w:p>
        </w:tc>
      </w:tr>
    </w:tbl>
    <w:p w:rsidR="000C53C2" w:rsidRPr="00AA2347" w:rsidRDefault="000C53C2" w:rsidP="000C53C2">
      <w:pPr>
        <w:rPr>
          <w:sz w:val="22"/>
          <w:szCs w:val="22"/>
          <w:lang w:val="en-US"/>
        </w:rPr>
      </w:pPr>
      <w:r w:rsidRPr="00AA2347">
        <w:rPr>
          <w:sz w:val="22"/>
          <w:szCs w:val="22"/>
          <w:lang w:val="en-US"/>
        </w:rPr>
        <w:t xml:space="preserve">Note: Static-99R scores centered on the median value (2). </w:t>
      </w:r>
      <w:r w:rsidRPr="00AA2347">
        <w:rPr>
          <w:sz w:val="22"/>
          <w:szCs w:val="22"/>
          <w:lang w:val="en-US"/>
        </w:rPr>
        <w:br w:type="page"/>
      </w:r>
    </w:p>
    <w:p w:rsidR="000C53C2" w:rsidRPr="00AA2347" w:rsidRDefault="000C53C2" w:rsidP="000C53C2">
      <w:pPr>
        <w:spacing w:line="360" w:lineRule="auto"/>
        <w:rPr>
          <w:sz w:val="22"/>
          <w:szCs w:val="22"/>
          <w:lang w:val="en-US"/>
        </w:rPr>
      </w:pPr>
      <w:r w:rsidRPr="00AA2347">
        <w:rPr>
          <w:sz w:val="22"/>
          <w:szCs w:val="22"/>
          <w:lang w:val="en-US"/>
        </w:rPr>
        <w:t xml:space="preserve">Figure 1. </w:t>
      </w:r>
    </w:p>
    <w:p w:rsidR="000C53C2" w:rsidRPr="00AA2347" w:rsidRDefault="000C53C2" w:rsidP="000C53C2">
      <w:pPr>
        <w:spacing w:line="360" w:lineRule="auto"/>
        <w:rPr>
          <w:sz w:val="22"/>
          <w:szCs w:val="22"/>
          <w:lang w:val="en-US"/>
        </w:rPr>
      </w:pPr>
      <w:r w:rsidRPr="00AA2347">
        <w:rPr>
          <w:sz w:val="22"/>
          <w:szCs w:val="22"/>
          <w:lang w:val="en-US"/>
        </w:rPr>
        <w:t>One Year Hazard Rates For Sexual Recidivism (</w:t>
      </w:r>
      <w:r w:rsidRPr="00AA2347">
        <w:rPr>
          <w:i/>
          <w:sz w:val="22"/>
          <w:szCs w:val="22"/>
          <w:lang w:val="en-US"/>
        </w:rPr>
        <w:t>n</w:t>
      </w:r>
      <w:r w:rsidRPr="00AA2347">
        <w:rPr>
          <w:sz w:val="22"/>
          <w:szCs w:val="22"/>
          <w:lang w:val="en-US"/>
        </w:rPr>
        <w:t xml:space="preserve"> = 7,225): Observed with 95% Confidence Intervals (Lines) and Estimates from Logistic Regression (Dots; Model 1 from Table 4). </w:t>
      </w:r>
    </w:p>
    <w:p w:rsidR="000C53C2" w:rsidRPr="00AA2347" w:rsidRDefault="000C53C2" w:rsidP="000C53C2">
      <w:pPr>
        <w:spacing w:line="360" w:lineRule="auto"/>
        <w:rPr>
          <w:sz w:val="22"/>
          <w:szCs w:val="22"/>
          <w:lang w:val="en-US"/>
        </w:rPr>
      </w:pPr>
    </w:p>
    <w:p w:rsidR="000C53C2" w:rsidRPr="00AA2347" w:rsidRDefault="000C53C2" w:rsidP="000C53C2">
      <w:pPr>
        <w:spacing w:line="360" w:lineRule="auto"/>
        <w:rPr>
          <w:sz w:val="22"/>
          <w:szCs w:val="22"/>
          <w:lang w:val="en-US"/>
        </w:rPr>
      </w:pPr>
    </w:p>
    <w:p w:rsidR="000C53C2" w:rsidRPr="00AA2347" w:rsidRDefault="000C53C2" w:rsidP="000C53C2">
      <w:pPr>
        <w:spacing w:line="360" w:lineRule="auto"/>
        <w:rPr>
          <w:sz w:val="22"/>
          <w:szCs w:val="22"/>
          <w:lang w:val="en-US"/>
        </w:rPr>
      </w:pPr>
      <w:r w:rsidRPr="00AA2347">
        <w:rPr>
          <w:noProof/>
          <w:sz w:val="22"/>
          <w:szCs w:val="22"/>
          <w:lang w:val="en-US" w:eastAsia="en-US"/>
        </w:rPr>
        <w:drawing>
          <wp:inline distT="0" distB="0" distL="0" distR="0">
            <wp:extent cx="5486400" cy="44031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5486400" cy="4403188"/>
                    </a:xfrm>
                    <a:prstGeom prst="rect">
                      <a:avLst/>
                    </a:prstGeom>
                  </pic:spPr>
                </pic:pic>
              </a:graphicData>
            </a:graphic>
          </wp:inline>
        </w:drawing>
      </w:r>
    </w:p>
    <w:p w:rsidR="000C53C2" w:rsidRPr="00AA2347" w:rsidRDefault="000C53C2" w:rsidP="000C53C2">
      <w:pPr>
        <w:spacing w:line="360" w:lineRule="auto"/>
        <w:rPr>
          <w:sz w:val="22"/>
          <w:szCs w:val="22"/>
          <w:lang w:val="en-US"/>
        </w:rPr>
      </w:pPr>
    </w:p>
    <w:p w:rsidR="000C53C2" w:rsidRPr="00AA2347" w:rsidRDefault="000C53C2" w:rsidP="000C53C2">
      <w:pPr>
        <w:spacing w:line="360" w:lineRule="auto"/>
        <w:rPr>
          <w:sz w:val="22"/>
          <w:szCs w:val="22"/>
          <w:lang w:val="en-US"/>
        </w:rPr>
      </w:pPr>
    </w:p>
    <w:p w:rsidR="000C53C2" w:rsidRPr="00AA2347" w:rsidRDefault="000C53C2" w:rsidP="000C53C2">
      <w:pPr>
        <w:spacing w:line="360" w:lineRule="auto"/>
        <w:rPr>
          <w:sz w:val="22"/>
          <w:szCs w:val="22"/>
          <w:lang w:val="en-US"/>
        </w:rPr>
      </w:pPr>
    </w:p>
    <w:p w:rsidR="000C53C2" w:rsidRPr="00AA2347" w:rsidRDefault="000C53C2" w:rsidP="000C53C2">
      <w:pPr>
        <w:spacing w:line="360" w:lineRule="auto"/>
        <w:rPr>
          <w:sz w:val="22"/>
          <w:szCs w:val="22"/>
          <w:lang w:val="en-US"/>
        </w:rPr>
      </w:pPr>
    </w:p>
    <w:p w:rsidR="000C53C2" w:rsidRPr="00AA2347" w:rsidRDefault="000C53C2" w:rsidP="000C53C2">
      <w:pPr>
        <w:rPr>
          <w:sz w:val="22"/>
          <w:szCs w:val="22"/>
          <w:lang w:val="en-US"/>
        </w:rPr>
      </w:pPr>
    </w:p>
    <w:p w:rsidR="000C53C2" w:rsidRPr="00AA2347" w:rsidRDefault="000C53C2" w:rsidP="000C53C2">
      <w:pPr>
        <w:rPr>
          <w:sz w:val="22"/>
          <w:szCs w:val="22"/>
          <w:lang w:val="en-US"/>
        </w:rPr>
      </w:pPr>
    </w:p>
    <w:p w:rsidR="000C53C2" w:rsidRPr="00AA2347" w:rsidRDefault="000C53C2" w:rsidP="000C53C2">
      <w:pPr>
        <w:rPr>
          <w:sz w:val="22"/>
          <w:szCs w:val="22"/>
          <w:lang w:val="en-US"/>
        </w:rPr>
        <w:sectPr w:rsidR="000C53C2" w:rsidRPr="00AA2347" w:rsidSect="00957A7A">
          <w:pgSz w:w="12240" w:h="15840"/>
          <w:pgMar w:top="1440" w:right="1800" w:bottom="1440" w:left="1800" w:header="708" w:footer="708" w:gutter="0"/>
          <w:cols w:space="708"/>
          <w:docGrid w:linePitch="360"/>
        </w:sectPr>
      </w:pPr>
    </w:p>
    <w:p w:rsidR="000C53C2" w:rsidRPr="00AA2347" w:rsidRDefault="000C53C2" w:rsidP="000C53C2">
      <w:pPr>
        <w:rPr>
          <w:sz w:val="22"/>
          <w:szCs w:val="22"/>
          <w:lang w:val="en-US"/>
        </w:rPr>
      </w:pPr>
    </w:p>
    <w:p w:rsidR="000C53C2" w:rsidRPr="00AA2347" w:rsidRDefault="000C53C2" w:rsidP="000C53C2">
      <w:pPr>
        <w:spacing w:line="360" w:lineRule="auto"/>
        <w:outlineLvl w:val="0"/>
        <w:rPr>
          <w:sz w:val="22"/>
          <w:szCs w:val="22"/>
          <w:lang w:val="en-US"/>
        </w:rPr>
      </w:pPr>
      <w:r w:rsidRPr="00AA2347">
        <w:rPr>
          <w:sz w:val="22"/>
          <w:szCs w:val="22"/>
          <w:lang w:val="en-US"/>
        </w:rPr>
        <w:t>Figure 2</w:t>
      </w:r>
      <w:r w:rsidR="004B5853">
        <w:rPr>
          <w:sz w:val="22"/>
          <w:szCs w:val="22"/>
          <w:lang w:val="en-US"/>
        </w:rPr>
        <w:t>.</w:t>
      </w:r>
    </w:p>
    <w:p w:rsidR="000C53C2" w:rsidRDefault="000C53C2" w:rsidP="000C53C2">
      <w:pPr>
        <w:spacing w:line="360" w:lineRule="auto"/>
        <w:rPr>
          <w:sz w:val="22"/>
          <w:szCs w:val="22"/>
          <w:lang w:val="en-US"/>
        </w:rPr>
      </w:pPr>
      <w:r w:rsidRPr="00AA2347">
        <w:rPr>
          <w:sz w:val="22"/>
          <w:szCs w:val="22"/>
          <w:lang w:val="en-US"/>
        </w:rPr>
        <w:t xml:space="preserve">Years to Desistance According to Initial Risk Level Based on Selected Static-99R Scores. </w:t>
      </w:r>
    </w:p>
    <w:p w:rsidR="00240B72" w:rsidRPr="00AA2347" w:rsidRDefault="00240B72" w:rsidP="000C53C2">
      <w:pPr>
        <w:spacing w:line="360" w:lineRule="auto"/>
        <w:rPr>
          <w:sz w:val="22"/>
          <w:szCs w:val="22"/>
          <w:lang w:val="en-US"/>
        </w:rPr>
      </w:pPr>
    </w:p>
    <w:p w:rsidR="000C53C2" w:rsidRPr="00AA2347" w:rsidRDefault="000C53C2" w:rsidP="000C53C2">
      <w:pPr>
        <w:spacing w:line="360" w:lineRule="auto"/>
        <w:rPr>
          <w:sz w:val="22"/>
          <w:szCs w:val="22"/>
          <w:lang w:val="en-US"/>
        </w:rPr>
      </w:pPr>
      <w:r w:rsidRPr="00AA2347">
        <w:rPr>
          <w:noProof/>
          <w:lang w:val="en-US" w:eastAsia="en-US"/>
        </w:rPr>
        <w:drawing>
          <wp:inline distT="0" distB="0" distL="0" distR="0">
            <wp:extent cx="6829425" cy="3981450"/>
            <wp:effectExtent l="0" t="0" r="9525"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C53C2" w:rsidRPr="00AA2347" w:rsidRDefault="000C53C2" w:rsidP="000C53C2">
      <w:pPr>
        <w:rPr>
          <w:sz w:val="22"/>
          <w:szCs w:val="22"/>
          <w:lang w:val="en-US"/>
        </w:rPr>
      </w:pPr>
    </w:p>
    <w:p w:rsidR="00240B72" w:rsidRPr="00AA2347" w:rsidRDefault="00240B72" w:rsidP="00240B72">
      <w:pPr>
        <w:spacing w:line="360" w:lineRule="auto"/>
        <w:rPr>
          <w:sz w:val="22"/>
          <w:szCs w:val="22"/>
          <w:lang w:val="en-US"/>
        </w:rPr>
      </w:pPr>
      <w:r w:rsidRPr="00AA2347">
        <w:rPr>
          <w:sz w:val="22"/>
          <w:szCs w:val="22"/>
          <w:lang w:val="en-US"/>
        </w:rPr>
        <w:t xml:space="preserve">Estimated Hazard Rates Based on Model 5 (Table 4, </w:t>
      </w:r>
      <w:r w:rsidRPr="00AA2347">
        <w:rPr>
          <w:i/>
          <w:sz w:val="22"/>
          <w:szCs w:val="22"/>
          <w:lang w:val="en-US"/>
        </w:rPr>
        <w:t>n</w:t>
      </w:r>
      <w:r w:rsidRPr="00AA2347">
        <w:rPr>
          <w:sz w:val="22"/>
          <w:szCs w:val="22"/>
          <w:lang w:val="en-US"/>
        </w:rPr>
        <w:t xml:space="preserve"> = 7,225) for Routine/Complete Samples. </w:t>
      </w:r>
    </w:p>
    <w:p w:rsidR="000C53C2" w:rsidRPr="00AA2347" w:rsidRDefault="000C53C2" w:rsidP="000C53C2">
      <w:pPr>
        <w:rPr>
          <w:sz w:val="22"/>
          <w:szCs w:val="22"/>
          <w:lang w:val="en-US"/>
        </w:rPr>
        <w:sectPr w:rsidR="000C53C2" w:rsidRPr="00AA2347" w:rsidSect="004D09E5">
          <w:pgSz w:w="15840" w:h="12240" w:orient="landscape"/>
          <w:pgMar w:top="1800" w:right="1440" w:bottom="1800" w:left="1440" w:header="708" w:footer="708" w:gutter="0"/>
          <w:cols w:space="708"/>
          <w:docGrid w:linePitch="360"/>
        </w:sectPr>
      </w:pPr>
    </w:p>
    <w:p w:rsidR="000C53C2" w:rsidRPr="00AA2347" w:rsidRDefault="000C53C2" w:rsidP="004B5853">
      <w:pPr>
        <w:outlineLvl w:val="0"/>
        <w:rPr>
          <w:sz w:val="22"/>
          <w:szCs w:val="22"/>
          <w:lang w:val="en-US"/>
        </w:rPr>
      </w:pPr>
      <w:r w:rsidRPr="00AA2347">
        <w:rPr>
          <w:sz w:val="22"/>
          <w:szCs w:val="22"/>
          <w:lang w:val="en-US"/>
        </w:rPr>
        <w:t xml:space="preserve">Figure </w:t>
      </w:r>
      <w:r w:rsidR="004B5853">
        <w:rPr>
          <w:sz w:val="22"/>
          <w:szCs w:val="22"/>
          <w:lang w:val="en-US"/>
        </w:rPr>
        <w:t>3.</w:t>
      </w:r>
    </w:p>
    <w:p w:rsidR="000C53C2" w:rsidRPr="00AA2347" w:rsidRDefault="000C53C2" w:rsidP="000C53C2">
      <w:pPr>
        <w:rPr>
          <w:sz w:val="22"/>
          <w:szCs w:val="22"/>
          <w:lang w:val="en-US"/>
        </w:rPr>
      </w:pPr>
    </w:p>
    <w:p w:rsidR="000C53C2" w:rsidRPr="00AA2347" w:rsidRDefault="000C53C2" w:rsidP="000C53C2">
      <w:pPr>
        <w:outlineLvl w:val="0"/>
        <w:rPr>
          <w:sz w:val="22"/>
          <w:szCs w:val="22"/>
          <w:lang w:val="en-US"/>
        </w:rPr>
      </w:pPr>
      <w:r w:rsidRPr="00AA2347">
        <w:rPr>
          <w:sz w:val="22"/>
          <w:szCs w:val="22"/>
          <w:lang w:val="en-US"/>
        </w:rPr>
        <w:t>Decline in Risk Level Based on Initial Static-99R Score and Years Sexual Offense Free in the Community.</w:t>
      </w:r>
    </w:p>
    <w:p w:rsidR="000C53C2" w:rsidRPr="00AA2347" w:rsidRDefault="000C53C2" w:rsidP="000C53C2">
      <w:pPr>
        <w:rPr>
          <w:sz w:val="22"/>
          <w:szCs w:val="22"/>
          <w:lang w:val="en-US"/>
        </w:rPr>
      </w:pPr>
    </w:p>
    <w:tbl>
      <w:tblPr>
        <w:tblStyle w:val="TableGrid"/>
        <w:tblW w:w="5000" w:type="pct"/>
        <w:tblLook w:val="04A0" w:firstRow="1" w:lastRow="0" w:firstColumn="1" w:lastColumn="0" w:noHBand="0" w:noVBand="1"/>
      </w:tblPr>
      <w:tblGrid>
        <w:gridCol w:w="497"/>
        <w:gridCol w:w="439"/>
        <w:gridCol w:w="580"/>
        <w:gridCol w:w="580"/>
        <w:gridCol w:w="580"/>
        <w:gridCol w:w="580"/>
        <w:gridCol w:w="580"/>
        <w:gridCol w:w="580"/>
        <w:gridCol w:w="580"/>
        <w:gridCol w:w="580"/>
        <w:gridCol w:w="580"/>
        <w:gridCol w:w="580"/>
        <w:gridCol w:w="580"/>
        <w:gridCol w:w="580"/>
        <w:gridCol w:w="580"/>
        <w:gridCol w:w="569"/>
        <w:gridCol w:w="569"/>
        <w:gridCol w:w="569"/>
        <w:gridCol w:w="569"/>
        <w:gridCol w:w="569"/>
        <w:gridCol w:w="440"/>
        <w:gridCol w:w="440"/>
        <w:gridCol w:w="485"/>
        <w:gridCol w:w="490"/>
      </w:tblGrid>
      <w:tr w:rsidR="000C53C2" w:rsidRPr="00AA2347" w:rsidTr="009B5ED1">
        <w:trPr>
          <w:cantSplit/>
          <w:trHeight w:val="432"/>
          <w:tblHeader/>
        </w:trPr>
        <w:tc>
          <w:tcPr>
            <w:tcW w:w="189" w:type="pct"/>
            <w:tcBorders>
              <w:top w:val="single" w:sz="4" w:space="0" w:color="auto"/>
              <w:left w:val="nil"/>
              <w:bottom w:val="nil"/>
              <w:right w:val="nil"/>
            </w:tcBorders>
            <w:shd w:val="clear" w:color="auto" w:fill="FFFFFF" w:themeFill="background1"/>
          </w:tcPr>
          <w:p w:rsidR="000C53C2" w:rsidRPr="00AA2347" w:rsidRDefault="000C53C2" w:rsidP="009B5ED1">
            <w:pPr>
              <w:jc w:val="center"/>
              <w:rPr>
                <w:sz w:val="22"/>
                <w:szCs w:val="22"/>
              </w:rPr>
            </w:pPr>
          </w:p>
        </w:tc>
        <w:tc>
          <w:tcPr>
            <w:tcW w:w="167" w:type="pct"/>
            <w:tcBorders>
              <w:top w:val="single" w:sz="4" w:space="0" w:color="auto"/>
              <w:left w:val="nil"/>
              <w:bottom w:val="nil"/>
              <w:right w:val="nil"/>
            </w:tcBorders>
            <w:shd w:val="clear" w:color="auto" w:fill="FFFFFF" w:themeFill="background1"/>
            <w:noWrap/>
            <w:vAlign w:val="center"/>
          </w:tcPr>
          <w:p w:rsidR="000C53C2" w:rsidRPr="00AA2347" w:rsidRDefault="000C53C2" w:rsidP="009B5ED1">
            <w:pPr>
              <w:jc w:val="center"/>
              <w:rPr>
                <w:sz w:val="22"/>
                <w:szCs w:val="22"/>
              </w:rPr>
            </w:pPr>
          </w:p>
        </w:tc>
        <w:tc>
          <w:tcPr>
            <w:tcW w:w="4644" w:type="pct"/>
            <w:gridSpan w:val="22"/>
            <w:tcBorders>
              <w:top w:val="single" w:sz="4" w:space="0" w:color="auto"/>
              <w:left w:val="nil"/>
              <w:bottom w:val="single" w:sz="4" w:space="0" w:color="auto"/>
              <w:right w:val="nil"/>
            </w:tcBorders>
            <w:shd w:val="clear" w:color="auto" w:fill="FFFFFF" w:themeFill="background1"/>
            <w:noWrap/>
            <w:vAlign w:val="center"/>
          </w:tcPr>
          <w:p w:rsidR="000C53C2" w:rsidRPr="00AA2347" w:rsidRDefault="000C53C2" w:rsidP="009B5ED1">
            <w:pPr>
              <w:jc w:val="center"/>
              <w:rPr>
                <w:sz w:val="22"/>
                <w:szCs w:val="22"/>
                <w:lang w:val="en-US"/>
              </w:rPr>
            </w:pPr>
            <w:r w:rsidRPr="00AA2347">
              <w:rPr>
                <w:sz w:val="22"/>
                <w:szCs w:val="22"/>
                <w:lang w:val="en-US"/>
              </w:rPr>
              <w:t>Years Sexual Offense Free in the Community</w:t>
            </w:r>
          </w:p>
        </w:tc>
      </w:tr>
      <w:tr w:rsidR="000C53C2" w:rsidRPr="00AA2347" w:rsidTr="009B5ED1">
        <w:trPr>
          <w:cantSplit/>
          <w:trHeight w:val="360"/>
          <w:tblHeader/>
        </w:trPr>
        <w:tc>
          <w:tcPr>
            <w:tcW w:w="189" w:type="pct"/>
            <w:tcBorders>
              <w:top w:val="nil"/>
              <w:left w:val="nil"/>
              <w:bottom w:val="nil"/>
              <w:right w:val="nil"/>
            </w:tcBorders>
            <w:shd w:val="clear" w:color="auto" w:fill="FFFFFF" w:themeFill="background1"/>
          </w:tcPr>
          <w:p w:rsidR="000C53C2" w:rsidRPr="00AA2347" w:rsidRDefault="000C53C2" w:rsidP="009B5ED1">
            <w:pPr>
              <w:jc w:val="center"/>
              <w:rPr>
                <w:sz w:val="22"/>
                <w:szCs w:val="22"/>
              </w:rPr>
            </w:pPr>
          </w:p>
        </w:tc>
        <w:tc>
          <w:tcPr>
            <w:tcW w:w="167" w:type="pct"/>
            <w:tcBorders>
              <w:top w:val="nil"/>
              <w:left w:val="nil"/>
              <w:bottom w:val="single" w:sz="4" w:space="0" w:color="auto"/>
              <w:right w:val="single" w:sz="4" w:space="0" w:color="auto"/>
            </w:tcBorders>
            <w:shd w:val="clear" w:color="auto" w:fill="FFFFFF" w:themeFill="background1"/>
            <w:noWrap/>
            <w:vAlign w:val="center"/>
            <w:hideMark/>
          </w:tcPr>
          <w:p w:rsidR="000C53C2" w:rsidRPr="00AA2347" w:rsidRDefault="000C53C2" w:rsidP="009B5ED1">
            <w:pPr>
              <w:jc w:val="center"/>
              <w:rPr>
                <w:sz w:val="22"/>
                <w:szCs w:val="22"/>
              </w:rPr>
            </w:pPr>
          </w:p>
        </w:tc>
        <w:tc>
          <w:tcPr>
            <w:tcW w:w="220" w:type="pct"/>
            <w:tcBorders>
              <w:left w:val="single" w:sz="4" w:space="0" w:color="auto"/>
              <w:bottom w:val="single" w:sz="4" w:space="0" w:color="auto"/>
            </w:tcBorders>
            <w:shd w:val="clear" w:color="auto" w:fill="FFFFFF" w:themeFill="background1"/>
            <w:noWrap/>
            <w:vAlign w:val="center"/>
            <w:hideMark/>
          </w:tcPr>
          <w:p w:rsidR="000C53C2" w:rsidRPr="00AA2347" w:rsidRDefault="000C53C2" w:rsidP="009B5ED1">
            <w:pPr>
              <w:jc w:val="center"/>
              <w:rPr>
                <w:sz w:val="22"/>
                <w:szCs w:val="22"/>
                <w:lang w:val="fr-CA"/>
              </w:rPr>
            </w:pPr>
            <w:r w:rsidRPr="00AA2347">
              <w:rPr>
                <w:sz w:val="22"/>
                <w:szCs w:val="22"/>
                <w:lang w:val="fr-CA"/>
              </w:rPr>
              <w:t>0</w:t>
            </w:r>
          </w:p>
        </w:tc>
        <w:tc>
          <w:tcPr>
            <w:tcW w:w="220" w:type="pct"/>
            <w:tcBorders>
              <w:bottom w:val="single" w:sz="4" w:space="0" w:color="auto"/>
            </w:tcBorders>
            <w:shd w:val="clear" w:color="auto" w:fill="FFFFFF" w:themeFill="background1"/>
            <w:noWrap/>
            <w:vAlign w:val="center"/>
            <w:hideMark/>
          </w:tcPr>
          <w:p w:rsidR="000C53C2" w:rsidRPr="00AA2347" w:rsidRDefault="000C53C2" w:rsidP="009B5ED1">
            <w:pPr>
              <w:jc w:val="center"/>
              <w:rPr>
                <w:sz w:val="22"/>
                <w:szCs w:val="22"/>
                <w:lang w:val="fr-CA"/>
              </w:rPr>
            </w:pPr>
            <w:r w:rsidRPr="00AA2347">
              <w:rPr>
                <w:sz w:val="22"/>
                <w:szCs w:val="22"/>
                <w:lang w:val="fr-CA"/>
              </w:rPr>
              <w:t>1</w:t>
            </w:r>
          </w:p>
        </w:tc>
        <w:tc>
          <w:tcPr>
            <w:tcW w:w="220" w:type="pct"/>
            <w:tcBorders>
              <w:bottom w:val="single" w:sz="4" w:space="0" w:color="auto"/>
            </w:tcBorders>
            <w:shd w:val="clear" w:color="auto" w:fill="FFFFFF" w:themeFill="background1"/>
            <w:noWrap/>
            <w:vAlign w:val="center"/>
            <w:hideMark/>
          </w:tcPr>
          <w:p w:rsidR="000C53C2" w:rsidRPr="00AA2347" w:rsidRDefault="000C53C2" w:rsidP="009B5ED1">
            <w:pPr>
              <w:jc w:val="center"/>
              <w:rPr>
                <w:sz w:val="22"/>
                <w:szCs w:val="22"/>
                <w:lang w:val="fr-CA"/>
              </w:rPr>
            </w:pPr>
            <w:r w:rsidRPr="00AA2347">
              <w:rPr>
                <w:sz w:val="22"/>
                <w:szCs w:val="22"/>
                <w:lang w:val="fr-CA"/>
              </w:rPr>
              <w:t>2</w:t>
            </w:r>
          </w:p>
        </w:tc>
        <w:tc>
          <w:tcPr>
            <w:tcW w:w="220" w:type="pct"/>
            <w:tcBorders>
              <w:bottom w:val="single" w:sz="4" w:space="0" w:color="auto"/>
            </w:tcBorders>
            <w:shd w:val="clear" w:color="auto" w:fill="FFFFFF" w:themeFill="background1"/>
            <w:noWrap/>
            <w:vAlign w:val="center"/>
            <w:hideMark/>
          </w:tcPr>
          <w:p w:rsidR="000C53C2" w:rsidRPr="00AA2347" w:rsidRDefault="000C53C2" w:rsidP="009B5ED1">
            <w:pPr>
              <w:jc w:val="center"/>
              <w:rPr>
                <w:sz w:val="22"/>
                <w:szCs w:val="22"/>
                <w:lang w:val="fr-CA"/>
              </w:rPr>
            </w:pPr>
            <w:r w:rsidRPr="00AA2347">
              <w:rPr>
                <w:sz w:val="22"/>
                <w:szCs w:val="22"/>
                <w:lang w:val="fr-CA"/>
              </w:rPr>
              <w:t>3</w:t>
            </w:r>
          </w:p>
        </w:tc>
        <w:tc>
          <w:tcPr>
            <w:tcW w:w="220" w:type="pct"/>
            <w:tcBorders>
              <w:bottom w:val="single" w:sz="4" w:space="0" w:color="auto"/>
            </w:tcBorders>
            <w:shd w:val="clear" w:color="auto" w:fill="FFFFFF" w:themeFill="background1"/>
            <w:noWrap/>
            <w:vAlign w:val="center"/>
            <w:hideMark/>
          </w:tcPr>
          <w:p w:rsidR="000C53C2" w:rsidRPr="00AA2347" w:rsidRDefault="000C53C2" w:rsidP="009B5ED1">
            <w:pPr>
              <w:jc w:val="center"/>
              <w:rPr>
                <w:sz w:val="22"/>
                <w:szCs w:val="22"/>
                <w:lang w:val="fr-CA"/>
              </w:rPr>
            </w:pPr>
            <w:r w:rsidRPr="00AA2347">
              <w:rPr>
                <w:sz w:val="22"/>
                <w:szCs w:val="22"/>
                <w:lang w:val="fr-CA"/>
              </w:rPr>
              <w:t>4</w:t>
            </w:r>
          </w:p>
        </w:tc>
        <w:tc>
          <w:tcPr>
            <w:tcW w:w="220" w:type="pct"/>
            <w:tcBorders>
              <w:bottom w:val="single" w:sz="4" w:space="0" w:color="auto"/>
            </w:tcBorders>
            <w:shd w:val="clear" w:color="auto" w:fill="FFFFFF" w:themeFill="background1"/>
            <w:noWrap/>
            <w:vAlign w:val="center"/>
            <w:hideMark/>
          </w:tcPr>
          <w:p w:rsidR="000C53C2" w:rsidRPr="00AA2347" w:rsidRDefault="000C53C2" w:rsidP="009B5ED1">
            <w:pPr>
              <w:jc w:val="center"/>
              <w:rPr>
                <w:sz w:val="22"/>
                <w:szCs w:val="22"/>
                <w:lang w:val="fr-CA"/>
              </w:rPr>
            </w:pPr>
            <w:r w:rsidRPr="00AA2347">
              <w:rPr>
                <w:sz w:val="22"/>
                <w:szCs w:val="22"/>
                <w:lang w:val="fr-CA"/>
              </w:rPr>
              <w:t>5</w:t>
            </w:r>
          </w:p>
        </w:tc>
        <w:tc>
          <w:tcPr>
            <w:tcW w:w="220" w:type="pct"/>
            <w:tcBorders>
              <w:bottom w:val="single" w:sz="4" w:space="0" w:color="auto"/>
            </w:tcBorders>
            <w:shd w:val="clear" w:color="auto" w:fill="FFFFFF" w:themeFill="background1"/>
            <w:noWrap/>
            <w:vAlign w:val="center"/>
            <w:hideMark/>
          </w:tcPr>
          <w:p w:rsidR="000C53C2" w:rsidRPr="00AA2347" w:rsidRDefault="000C53C2" w:rsidP="009B5ED1">
            <w:pPr>
              <w:jc w:val="center"/>
              <w:rPr>
                <w:sz w:val="22"/>
                <w:szCs w:val="22"/>
                <w:lang w:val="fr-CA"/>
              </w:rPr>
            </w:pPr>
            <w:r w:rsidRPr="00AA2347">
              <w:rPr>
                <w:sz w:val="22"/>
                <w:szCs w:val="22"/>
                <w:lang w:val="fr-CA"/>
              </w:rPr>
              <w:t>6</w:t>
            </w:r>
          </w:p>
        </w:tc>
        <w:tc>
          <w:tcPr>
            <w:tcW w:w="220" w:type="pct"/>
            <w:tcBorders>
              <w:bottom w:val="single" w:sz="4" w:space="0" w:color="auto"/>
            </w:tcBorders>
            <w:shd w:val="clear" w:color="auto" w:fill="FFFFFF" w:themeFill="background1"/>
            <w:noWrap/>
            <w:vAlign w:val="center"/>
            <w:hideMark/>
          </w:tcPr>
          <w:p w:rsidR="000C53C2" w:rsidRPr="00AA2347" w:rsidRDefault="000C53C2" w:rsidP="009B5ED1">
            <w:pPr>
              <w:jc w:val="center"/>
              <w:rPr>
                <w:sz w:val="22"/>
                <w:szCs w:val="22"/>
                <w:lang w:val="fr-CA"/>
              </w:rPr>
            </w:pPr>
            <w:r w:rsidRPr="00AA2347">
              <w:rPr>
                <w:sz w:val="22"/>
                <w:szCs w:val="22"/>
                <w:lang w:val="fr-CA"/>
              </w:rPr>
              <w:t>7</w:t>
            </w:r>
          </w:p>
        </w:tc>
        <w:tc>
          <w:tcPr>
            <w:tcW w:w="220" w:type="pct"/>
            <w:tcBorders>
              <w:bottom w:val="single" w:sz="4" w:space="0" w:color="auto"/>
            </w:tcBorders>
            <w:shd w:val="clear" w:color="auto" w:fill="FFFFFF" w:themeFill="background1"/>
            <w:noWrap/>
            <w:vAlign w:val="center"/>
            <w:hideMark/>
          </w:tcPr>
          <w:p w:rsidR="000C53C2" w:rsidRPr="00AA2347" w:rsidRDefault="000C53C2" w:rsidP="009B5ED1">
            <w:pPr>
              <w:jc w:val="center"/>
              <w:rPr>
                <w:sz w:val="22"/>
                <w:szCs w:val="22"/>
                <w:lang w:val="fr-CA"/>
              </w:rPr>
            </w:pPr>
            <w:r w:rsidRPr="00AA2347">
              <w:rPr>
                <w:sz w:val="22"/>
                <w:szCs w:val="22"/>
                <w:lang w:val="fr-CA"/>
              </w:rPr>
              <w:t>8</w:t>
            </w:r>
          </w:p>
        </w:tc>
        <w:tc>
          <w:tcPr>
            <w:tcW w:w="220" w:type="pct"/>
            <w:tcBorders>
              <w:bottom w:val="single" w:sz="4" w:space="0" w:color="auto"/>
            </w:tcBorders>
            <w:shd w:val="clear" w:color="auto" w:fill="FFFFFF" w:themeFill="background1"/>
            <w:noWrap/>
            <w:vAlign w:val="center"/>
            <w:hideMark/>
          </w:tcPr>
          <w:p w:rsidR="000C53C2" w:rsidRPr="00AA2347" w:rsidRDefault="000C53C2" w:rsidP="009B5ED1">
            <w:pPr>
              <w:jc w:val="center"/>
              <w:rPr>
                <w:sz w:val="22"/>
                <w:szCs w:val="22"/>
                <w:lang w:val="fr-CA"/>
              </w:rPr>
            </w:pPr>
            <w:r w:rsidRPr="00AA2347">
              <w:rPr>
                <w:sz w:val="22"/>
                <w:szCs w:val="22"/>
                <w:lang w:val="fr-CA"/>
              </w:rPr>
              <w:t>9</w:t>
            </w:r>
          </w:p>
        </w:tc>
        <w:tc>
          <w:tcPr>
            <w:tcW w:w="220" w:type="pct"/>
            <w:tcBorders>
              <w:bottom w:val="single" w:sz="4" w:space="0" w:color="auto"/>
            </w:tcBorders>
            <w:shd w:val="clear" w:color="auto" w:fill="FFFFFF" w:themeFill="background1"/>
            <w:noWrap/>
            <w:vAlign w:val="center"/>
            <w:hideMark/>
          </w:tcPr>
          <w:p w:rsidR="000C53C2" w:rsidRPr="00AA2347" w:rsidRDefault="000C53C2" w:rsidP="009B5ED1">
            <w:pPr>
              <w:jc w:val="center"/>
              <w:rPr>
                <w:sz w:val="22"/>
                <w:szCs w:val="22"/>
                <w:lang w:val="fr-CA"/>
              </w:rPr>
            </w:pPr>
            <w:r w:rsidRPr="00AA2347">
              <w:rPr>
                <w:sz w:val="22"/>
                <w:szCs w:val="22"/>
                <w:lang w:val="fr-CA"/>
              </w:rPr>
              <w:t>10</w:t>
            </w:r>
          </w:p>
        </w:tc>
        <w:tc>
          <w:tcPr>
            <w:tcW w:w="220" w:type="pct"/>
            <w:tcBorders>
              <w:bottom w:val="single" w:sz="4" w:space="0" w:color="auto"/>
            </w:tcBorders>
            <w:shd w:val="clear" w:color="auto" w:fill="FFFFFF" w:themeFill="background1"/>
            <w:noWrap/>
            <w:vAlign w:val="center"/>
            <w:hideMark/>
          </w:tcPr>
          <w:p w:rsidR="000C53C2" w:rsidRPr="00AA2347" w:rsidRDefault="000C53C2" w:rsidP="009B5ED1">
            <w:pPr>
              <w:jc w:val="center"/>
              <w:rPr>
                <w:sz w:val="22"/>
                <w:szCs w:val="22"/>
                <w:lang w:val="fr-CA"/>
              </w:rPr>
            </w:pPr>
            <w:r w:rsidRPr="00AA2347">
              <w:rPr>
                <w:sz w:val="22"/>
                <w:szCs w:val="22"/>
                <w:lang w:val="fr-CA"/>
              </w:rPr>
              <w:t>11</w:t>
            </w:r>
          </w:p>
        </w:tc>
        <w:tc>
          <w:tcPr>
            <w:tcW w:w="220" w:type="pct"/>
            <w:tcBorders>
              <w:bottom w:val="single" w:sz="4" w:space="0" w:color="auto"/>
            </w:tcBorders>
            <w:shd w:val="clear" w:color="auto" w:fill="FFFFFF" w:themeFill="background1"/>
            <w:noWrap/>
            <w:vAlign w:val="center"/>
            <w:hideMark/>
          </w:tcPr>
          <w:p w:rsidR="000C53C2" w:rsidRPr="00AA2347" w:rsidRDefault="000C53C2" w:rsidP="009B5ED1">
            <w:pPr>
              <w:jc w:val="center"/>
              <w:rPr>
                <w:sz w:val="22"/>
                <w:szCs w:val="22"/>
                <w:lang w:val="fr-CA"/>
              </w:rPr>
            </w:pPr>
            <w:r w:rsidRPr="00AA2347">
              <w:rPr>
                <w:sz w:val="22"/>
                <w:szCs w:val="22"/>
                <w:lang w:val="fr-CA"/>
              </w:rPr>
              <w:t>12</w:t>
            </w:r>
          </w:p>
        </w:tc>
        <w:tc>
          <w:tcPr>
            <w:tcW w:w="216" w:type="pct"/>
            <w:tcBorders>
              <w:bottom w:val="single" w:sz="4" w:space="0" w:color="auto"/>
            </w:tcBorders>
            <w:shd w:val="clear" w:color="auto" w:fill="FFFFFF" w:themeFill="background1"/>
            <w:noWrap/>
            <w:vAlign w:val="center"/>
            <w:hideMark/>
          </w:tcPr>
          <w:p w:rsidR="000C53C2" w:rsidRPr="00AA2347" w:rsidRDefault="000C53C2" w:rsidP="009B5ED1">
            <w:pPr>
              <w:jc w:val="center"/>
              <w:rPr>
                <w:sz w:val="22"/>
                <w:szCs w:val="22"/>
                <w:lang w:val="fr-CA"/>
              </w:rPr>
            </w:pPr>
            <w:r w:rsidRPr="00AA2347">
              <w:rPr>
                <w:sz w:val="22"/>
                <w:szCs w:val="22"/>
                <w:lang w:val="fr-CA"/>
              </w:rPr>
              <w:t>13</w:t>
            </w:r>
          </w:p>
        </w:tc>
        <w:tc>
          <w:tcPr>
            <w:tcW w:w="216" w:type="pct"/>
            <w:tcBorders>
              <w:bottom w:val="single" w:sz="4" w:space="0" w:color="auto"/>
            </w:tcBorders>
            <w:shd w:val="clear" w:color="auto" w:fill="FFFFFF" w:themeFill="background1"/>
            <w:noWrap/>
            <w:vAlign w:val="center"/>
            <w:hideMark/>
          </w:tcPr>
          <w:p w:rsidR="000C53C2" w:rsidRPr="00AA2347" w:rsidRDefault="000C53C2" w:rsidP="009B5ED1">
            <w:pPr>
              <w:jc w:val="center"/>
              <w:rPr>
                <w:sz w:val="22"/>
                <w:szCs w:val="22"/>
                <w:lang w:val="fr-CA"/>
              </w:rPr>
            </w:pPr>
            <w:r w:rsidRPr="00AA2347">
              <w:rPr>
                <w:sz w:val="22"/>
                <w:szCs w:val="22"/>
                <w:lang w:val="fr-CA"/>
              </w:rPr>
              <w:t>14</w:t>
            </w:r>
          </w:p>
        </w:tc>
        <w:tc>
          <w:tcPr>
            <w:tcW w:w="216" w:type="pct"/>
            <w:tcBorders>
              <w:bottom w:val="single" w:sz="4" w:space="0" w:color="auto"/>
            </w:tcBorders>
            <w:shd w:val="clear" w:color="auto" w:fill="FFFFFF" w:themeFill="background1"/>
            <w:noWrap/>
            <w:vAlign w:val="center"/>
            <w:hideMark/>
          </w:tcPr>
          <w:p w:rsidR="000C53C2" w:rsidRPr="00AA2347" w:rsidRDefault="000C53C2" w:rsidP="009B5ED1">
            <w:pPr>
              <w:jc w:val="center"/>
              <w:rPr>
                <w:sz w:val="22"/>
                <w:szCs w:val="22"/>
                <w:lang w:val="fr-CA"/>
              </w:rPr>
            </w:pPr>
            <w:r w:rsidRPr="00AA2347">
              <w:rPr>
                <w:sz w:val="22"/>
                <w:szCs w:val="22"/>
                <w:lang w:val="fr-CA"/>
              </w:rPr>
              <w:t>15</w:t>
            </w:r>
          </w:p>
        </w:tc>
        <w:tc>
          <w:tcPr>
            <w:tcW w:w="216" w:type="pct"/>
            <w:tcBorders>
              <w:bottom w:val="single" w:sz="4" w:space="0" w:color="auto"/>
            </w:tcBorders>
            <w:shd w:val="clear" w:color="auto" w:fill="FFFFFF" w:themeFill="background1"/>
            <w:noWrap/>
            <w:vAlign w:val="center"/>
            <w:hideMark/>
          </w:tcPr>
          <w:p w:rsidR="000C53C2" w:rsidRPr="00AA2347" w:rsidRDefault="000C53C2" w:rsidP="009B5ED1">
            <w:pPr>
              <w:jc w:val="center"/>
              <w:rPr>
                <w:sz w:val="22"/>
                <w:szCs w:val="22"/>
                <w:lang w:val="fr-CA"/>
              </w:rPr>
            </w:pPr>
            <w:r w:rsidRPr="00AA2347">
              <w:rPr>
                <w:sz w:val="22"/>
                <w:szCs w:val="22"/>
                <w:lang w:val="fr-CA"/>
              </w:rPr>
              <w:t>16</w:t>
            </w:r>
          </w:p>
        </w:tc>
        <w:tc>
          <w:tcPr>
            <w:tcW w:w="216" w:type="pct"/>
            <w:tcBorders>
              <w:bottom w:val="single" w:sz="4" w:space="0" w:color="auto"/>
            </w:tcBorders>
            <w:shd w:val="clear" w:color="auto" w:fill="FFFFFF" w:themeFill="background1"/>
            <w:noWrap/>
            <w:vAlign w:val="center"/>
            <w:hideMark/>
          </w:tcPr>
          <w:p w:rsidR="000C53C2" w:rsidRPr="00AA2347" w:rsidRDefault="000C53C2" w:rsidP="009B5ED1">
            <w:pPr>
              <w:jc w:val="center"/>
              <w:rPr>
                <w:sz w:val="22"/>
                <w:szCs w:val="22"/>
                <w:lang w:val="fr-CA"/>
              </w:rPr>
            </w:pPr>
            <w:r w:rsidRPr="00AA2347">
              <w:rPr>
                <w:sz w:val="22"/>
                <w:szCs w:val="22"/>
                <w:lang w:val="fr-CA"/>
              </w:rPr>
              <w:t>17</w:t>
            </w:r>
          </w:p>
        </w:tc>
        <w:tc>
          <w:tcPr>
            <w:tcW w:w="167" w:type="pct"/>
            <w:tcBorders>
              <w:bottom w:val="single" w:sz="4" w:space="0" w:color="auto"/>
            </w:tcBorders>
            <w:shd w:val="clear" w:color="auto" w:fill="FFFFFF" w:themeFill="background1"/>
            <w:noWrap/>
            <w:vAlign w:val="center"/>
            <w:hideMark/>
          </w:tcPr>
          <w:p w:rsidR="000C53C2" w:rsidRPr="00AA2347" w:rsidRDefault="000C53C2" w:rsidP="009B5ED1">
            <w:pPr>
              <w:jc w:val="center"/>
              <w:rPr>
                <w:sz w:val="22"/>
                <w:szCs w:val="22"/>
                <w:lang w:val="fr-CA"/>
              </w:rPr>
            </w:pPr>
            <w:r w:rsidRPr="00AA2347">
              <w:rPr>
                <w:sz w:val="22"/>
                <w:szCs w:val="22"/>
                <w:lang w:val="fr-CA"/>
              </w:rPr>
              <w:t>18</w:t>
            </w:r>
          </w:p>
        </w:tc>
        <w:tc>
          <w:tcPr>
            <w:tcW w:w="167" w:type="pct"/>
            <w:tcBorders>
              <w:bottom w:val="single" w:sz="4" w:space="0" w:color="auto"/>
            </w:tcBorders>
            <w:shd w:val="clear" w:color="auto" w:fill="FFFFFF" w:themeFill="background1"/>
            <w:noWrap/>
            <w:vAlign w:val="center"/>
            <w:hideMark/>
          </w:tcPr>
          <w:p w:rsidR="000C53C2" w:rsidRPr="00AA2347" w:rsidRDefault="000C53C2" w:rsidP="009B5ED1">
            <w:pPr>
              <w:jc w:val="center"/>
              <w:rPr>
                <w:sz w:val="22"/>
                <w:szCs w:val="22"/>
                <w:lang w:val="fr-CA"/>
              </w:rPr>
            </w:pPr>
            <w:r w:rsidRPr="00AA2347">
              <w:rPr>
                <w:sz w:val="22"/>
                <w:szCs w:val="22"/>
                <w:lang w:val="fr-CA"/>
              </w:rPr>
              <w:t>19</w:t>
            </w:r>
          </w:p>
        </w:tc>
        <w:tc>
          <w:tcPr>
            <w:tcW w:w="184" w:type="pct"/>
            <w:tcBorders>
              <w:bottom w:val="single" w:sz="4" w:space="0" w:color="auto"/>
            </w:tcBorders>
            <w:shd w:val="clear" w:color="auto" w:fill="FFFFFF" w:themeFill="background1"/>
            <w:noWrap/>
            <w:vAlign w:val="center"/>
            <w:hideMark/>
          </w:tcPr>
          <w:p w:rsidR="000C53C2" w:rsidRPr="00AA2347" w:rsidRDefault="000C53C2" w:rsidP="009B5ED1">
            <w:pPr>
              <w:jc w:val="center"/>
              <w:rPr>
                <w:sz w:val="22"/>
                <w:szCs w:val="22"/>
                <w:lang w:val="fr-CA"/>
              </w:rPr>
            </w:pPr>
            <w:r w:rsidRPr="00AA2347">
              <w:rPr>
                <w:sz w:val="22"/>
                <w:szCs w:val="22"/>
                <w:lang w:val="fr-CA"/>
              </w:rPr>
              <w:t>20</w:t>
            </w:r>
          </w:p>
        </w:tc>
        <w:tc>
          <w:tcPr>
            <w:tcW w:w="185" w:type="pct"/>
            <w:tcBorders>
              <w:bottom w:val="single" w:sz="4" w:space="0" w:color="auto"/>
            </w:tcBorders>
            <w:shd w:val="clear" w:color="auto" w:fill="FFFFFF" w:themeFill="background1"/>
            <w:vAlign w:val="center"/>
          </w:tcPr>
          <w:p w:rsidR="000C53C2" w:rsidRPr="00AA2347" w:rsidRDefault="000C53C2" w:rsidP="009B5ED1">
            <w:pPr>
              <w:jc w:val="center"/>
              <w:rPr>
                <w:sz w:val="22"/>
                <w:szCs w:val="22"/>
                <w:lang w:val="fr-CA"/>
              </w:rPr>
            </w:pPr>
            <w:r w:rsidRPr="00AA2347">
              <w:rPr>
                <w:sz w:val="22"/>
                <w:szCs w:val="22"/>
                <w:lang w:val="fr-CA"/>
              </w:rPr>
              <w:t>21</w:t>
            </w:r>
          </w:p>
        </w:tc>
      </w:tr>
      <w:tr w:rsidR="000C53C2" w:rsidRPr="00AA2347" w:rsidTr="009B5ED1">
        <w:trPr>
          <w:cantSplit/>
          <w:trHeight w:val="360"/>
          <w:tblHeader/>
        </w:trPr>
        <w:tc>
          <w:tcPr>
            <w:tcW w:w="189" w:type="pct"/>
            <w:vMerge w:val="restart"/>
            <w:tcBorders>
              <w:top w:val="nil"/>
              <w:left w:val="nil"/>
              <w:bottom w:val="single" w:sz="4" w:space="0" w:color="auto"/>
              <w:right w:val="single" w:sz="4" w:space="0" w:color="auto"/>
            </w:tcBorders>
            <w:shd w:val="clear" w:color="auto" w:fill="FFFFFF" w:themeFill="background1"/>
            <w:textDirection w:val="btLr"/>
            <w:vAlign w:val="center"/>
          </w:tcPr>
          <w:p w:rsidR="000C53C2" w:rsidRPr="00AA2347" w:rsidRDefault="000C53C2" w:rsidP="009B5ED1">
            <w:pPr>
              <w:ind w:left="113" w:right="113"/>
              <w:jc w:val="center"/>
              <w:rPr>
                <w:sz w:val="22"/>
                <w:szCs w:val="22"/>
                <w:lang w:val="fr-CA"/>
              </w:rPr>
            </w:pPr>
            <w:r w:rsidRPr="00AA2347">
              <w:rPr>
                <w:sz w:val="22"/>
                <w:szCs w:val="22"/>
                <w:lang w:val="fr-CA"/>
              </w:rPr>
              <w:t>STATIC-99R Scores</w:t>
            </w:r>
          </w:p>
        </w:tc>
        <w:tc>
          <w:tcPr>
            <w:tcW w:w="167" w:type="pct"/>
            <w:tcBorders>
              <w:top w:val="single" w:sz="4" w:space="0" w:color="auto"/>
              <w:right w:val="single" w:sz="4" w:space="0" w:color="auto"/>
            </w:tcBorders>
            <w:shd w:val="clear" w:color="auto" w:fill="auto"/>
            <w:noWrap/>
            <w:vAlign w:val="center"/>
            <w:hideMark/>
          </w:tcPr>
          <w:p w:rsidR="000C53C2" w:rsidRPr="00AA2347" w:rsidRDefault="000C53C2" w:rsidP="009B5ED1">
            <w:pPr>
              <w:jc w:val="center"/>
              <w:rPr>
                <w:sz w:val="22"/>
                <w:szCs w:val="22"/>
                <w:lang w:val="fr-CA"/>
              </w:rPr>
            </w:pPr>
            <w:r w:rsidRPr="00AA2347">
              <w:rPr>
                <w:sz w:val="22"/>
                <w:szCs w:val="22"/>
                <w:lang w:val="fr-CA"/>
              </w:rPr>
              <w:t>-3</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53C2" w:rsidRPr="00AA2347" w:rsidRDefault="000C53C2" w:rsidP="009B5ED1">
            <w:pPr>
              <w:jc w:val="center"/>
              <w:rPr>
                <w:color w:val="000000"/>
                <w:sz w:val="22"/>
                <w:szCs w:val="22"/>
                <w:lang w:val="fr-CA"/>
              </w:rPr>
            </w:pPr>
            <w:r w:rsidRPr="00AA2347">
              <w:rPr>
                <w:color w:val="000000"/>
                <w:sz w:val="22"/>
                <w:szCs w:val="22"/>
                <w:lang w:val="fr-CA"/>
              </w:rPr>
              <w:t>I</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53C2" w:rsidRPr="00AA2347" w:rsidRDefault="000C53C2" w:rsidP="009B5ED1">
            <w:pPr>
              <w:jc w:val="center"/>
              <w:rPr>
                <w:color w:val="000000"/>
                <w:sz w:val="22"/>
                <w:szCs w:val="22"/>
                <w:lang w:val="fr-CA"/>
              </w:rPr>
            </w:pPr>
            <w:r w:rsidRPr="00AA2347">
              <w:rPr>
                <w:color w:val="000000"/>
                <w:sz w:val="22"/>
                <w:szCs w:val="22"/>
                <w:lang w:val="fr-CA"/>
              </w:rPr>
              <w:t>I</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53C2" w:rsidRPr="00AA2347" w:rsidRDefault="000C53C2" w:rsidP="009B5ED1">
            <w:pPr>
              <w:jc w:val="center"/>
              <w:rPr>
                <w:color w:val="000000"/>
                <w:sz w:val="22"/>
                <w:szCs w:val="22"/>
                <w:lang w:val="fr-CA"/>
              </w:rPr>
            </w:pPr>
            <w:r w:rsidRPr="00AA2347">
              <w:rPr>
                <w:color w:val="000000"/>
                <w:sz w:val="22"/>
                <w:szCs w:val="22"/>
                <w:lang w:val="fr-CA"/>
              </w:rPr>
              <w:t>I</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53C2" w:rsidRPr="00AA2347" w:rsidRDefault="000C53C2" w:rsidP="009B5ED1">
            <w:pPr>
              <w:jc w:val="center"/>
              <w:rPr>
                <w:color w:val="000000"/>
                <w:sz w:val="22"/>
                <w:szCs w:val="22"/>
                <w:lang w:val="fr-CA"/>
              </w:rPr>
            </w:pPr>
            <w:r w:rsidRPr="00AA2347">
              <w:rPr>
                <w:color w:val="000000"/>
                <w:sz w:val="22"/>
                <w:szCs w:val="22"/>
                <w:lang w:val="fr-CA"/>
              </w:rPr>
              <w:t>I</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53C2" w:rsidRPr="00AA2347" w:rsidRDefault="000C53C2" w:rsidP="009B5ED1">
            <w:pPr>
              <w:jc w:val="center"/>
              <w:rPr>
                <w:color w:val="000000"/>
                <w:sz w:val="22"/>
                <w:szCs w:val="22"/>
                <w:lang w:val="fr-CA"/>
              </w:rPr>
            </w:pPr>
            <w:r w:rsidRPr="00AA2347">
              <w:rPr>
                <w:color w:val="000000"/>
                <w:sz w:val="22"/>
                <w:szCs w:val="22"/>
                <w:lang w:val="fr-CA"/>
              </w:rPr>
              <w:t>I</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53C2" w:rsidRPr="00AA2347" w:rsidRDefault="000C53C2" w:rsidP="009B5ED1">
            <w:pPr>
              <w:jc w:val="center"/>
              <w:rPr>
                <w:color w:val="000000"/>
                <w:sz w:val="22"/>
                <w:szCs w:val="22"/>
                <w:lang w:val="fr-CA"/>
              </w:rPr>
            </w:pPr>
            <w:r w:rsidRPr="00AA2347">
              <w:rPr>
                <w:color w:val="000000"/>
                <w:sz w:val="22"/>
                <w:szCs w:val="22"/>
                <w:lang w:val="fr-CA"/>
              </w:rPr>
              <w:t>I</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53C2" w:rsidRPr="00AA2347" w:rsidRDefault="000C53C2" w:rsidP="009B5ED1">
            <w:pPr>
              <w:jc w:val="center"/>
              <w:rPr>
                <w:color w:val="000000"/>
                <w:sz w:val="22"/>
                <w:szCs w:val="22"/>
                <w:lang w:val="fr-CA"/>
              </w:rPr>
            </w:pPr>
            <w:r w:rsidRPr="00AA2347">
              <w:rPr>
                <w:color w:val="000000"/>
                <w:sz w:val="22"/>
                <w:szCs w:val="22"/>
                <w:lang w:val="fr-CA"/>
              </w:rPr>
              <w:t>I</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53C2" w:rsidRPr="00AA2347" w:rsidRDefault="000C53C2" w:rsidP="009B5ED1">
            <w:pPr>
              <w:jc w:val="center"/>
              <w:rPr>
                <w:color w:val="000000"/>
                <w:sz w:val="22"/>
                <w:szCs w:val="22"/>
                <w:lang w:val="fr-CA"/>
              </w:rPr>
            </w:pPr>
            <w:r w:rsidRPr="00AA2347">
              <w:rPr>
                <w:color w:val="000000"/>
                <w:sz w:val="22"/>
                <w:szCs w:val="22"/>
                <w:lang w:val="fr-CA"/>
              </w:rPr>
              <w:t>I</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53C2" w:rsidRPr="00AA2347" w:rsidRDefault="000C53C2" w:rsidP="009B5ED1">
            <w:pPr>
              <w:jc w:val="center"/>
              <w:rPr>
                <w:color w:val="000000"/>
                <w:sz w:val="22"/>
                <w:szCs w:val="22"/>
                <w:lang w:val="fr-CA"/>
              </w:rPr>
            </w:pPr>
            <w:r w:rsidRPr="00AA2347">
              <w:rPr>
                <w:color w:val="000000"/>
                <w:sz w:val="22"/>
                <w:szCs w:val="22"/>
                <w:lang w:val="fr-CA"/>
              </w:rPr>
              <w:t>I</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53C2" w:rsidRPr="00AA2347" w:rsidRDefault="000C53C2" w:rsidP="009B5ED1">
            <w:pPr>
              <w:jc w:val="center"/>
              <w:rPr>
                <w:color w:val="000000"/>
                <w:sz w:val="22"/>
                <w:szCs w:val="22"/>
                <w:lang w:val="fr-CA"/>
              </w:rPr>
            </w:pPr>
            <w:r w:rsidRPr="00AA2347">
              <w:rPr>
                <w:color w:val="000000"/>
                <w:sz w:val="22"/>
                <w:szCs w:val="22"/>
                <w:lang w:val="fr-CA"/>
              </w:rPr>
              <w:t>I</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53C2" w:rsidRPr="00AA2347" w:rsidRDefault="000C53C2" w:rsidP="009B5ED1">
            <w:pPr>
              <w:jc w:val="center"/>
              <w:rPr>
                <w:color w:val="000000"/>
                <w:sz w:val="22"/>
                <w:szCs w:val="22"/>
                <w:lang w:val="fr-CA"/>
              </w:rPr>
            </w:pPr>
            <w:r w:rsidRPr="00AA2347">
              <w:rPr>
                <w:color w:val="000000"/>
                <w:sz w:val="22"/>
                <w:szCs w:val="22"/>
                <w:lang w:val="fr-CA"/>
              </w:rPr>
              <w:t>I</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53C2" w:rsidRPr="00AA2347" w:rsidRDefault="000C53C2" w:rsidP="009B5ED1">
            <w:pPr>
              <w:jc w:val="center"/>
              <w:rPr>
                <w:color w:val="000000"/>
                <w:sz w:val="22"/>
                <w:szCs w:val="22"/>
                <w:lang w:val="fr-CA"/>
              </w:rPr>
            </w:pPr>
            <w:r w:rsidRPr="00AA2347">
              <w:rPr>
                <w:color w:val="000000"/>
                <w:sz w:val="22"/>
                <w:szCs w:val="22"/>
                <w:lang w:val="fr-CA"/>
              </w:rPr>
              <w:t>I</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53C2" w:rsidRPr="00AA2347" w:rsidRDefault="000C53C2" w:rsidP="009B5ED1">
            <w:pPr>
              <w:jc w:val="center"/>
              <w:rPr>
                <w:color w:val="000000"/>
                <w:sz w:val="22"/>
                <w:szCs w:val="22"/>
                <w:lang w:val="fr-CA"/>
              </w:rPr>
            </w:pPr>
            <w:r w:rsidRPr="00AA2347">
              <w:rPr>
                <w:color w:val="000000"/>
                <w:sz w:val="22"/>
                <w:szCs w:val="22"/>
                <w:lang w:val="fr-CA"/>
              </w:rPr>
              <w:t>I</w:t>
            </w:r>
          </w:p>
        </w:tc>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53C2" w:rsidRPr="00AA2347" w:rsidRDefault="000C53C2" w:rsidP="009B5ED1">
            <w:pPr>
              <w:jc w:val="center"/>
              <w:rPr>
                <w:color w:val="000000"/>
                <w:sz w:val="22"/>
                <w:szCs w:val="22"/>
                <w:lang w:val="fr-CA"/>
              </w:rPr>
            </w:pPr>
            <w:r w:rsidRPr="00AA2347">
              <w:rPr>
                <w:color w:val="000000"/>
                <w:sz w:val="22"/>
                <w:szCs w:val="22"/>
                <w:lang w:val="fr-CA"/>
              </w:rPr>
              <w:t>I</w:t>
            </w:r>
          </w:p>
        </w:tc>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53C2" w:rsidRPr="00AA2347" w:rsidRDefault="000C53C2" w:rsidP="009B5ED1">
            <w:pPr>
              <w:jc w:val="center"/>
              <w:rPr>
                <w:color w:val="000000"/>
                <w:sz w:val="22"/>
                <w:szCs w:val="22"/>
                <w:lang w:val="fr-CA"/>
              </w:rPr>
            </w:pPr>
            <w:r w:rsidRPr="00AA2347">
              <w:rPr>
                <w:color w:val="000000"/>
                <w:sz w:val="22"/>
                <w:szCs w:val="22"/>
                <w:lang w:val="fr-CA"/>
              </w:rPr>
              <w:t>I</w:t>
            </w:r>
          </w:p>
        </w:tc>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53C2" w:rsidRPr="00AA2347" w:rsidRDefault="000C53C2" w:rsidP="009B5ED1">
            <w:pPr>
              <w:jc w:val="center"/>
              <w:rPr>
                <w:color w:val="000000"/>
                <w:sz w:val="22"/>
                <w:szCs w:val="22"/>
                <w:lang w:val="fr-CA"/>
              </w:rPr>
            </w:pPr>
            <w:r w:rsidRPr="00AA2347">
              <w:rPr>
                <w:color w:val="000000"/>
                <w:sz w:val="22"/>
                <w:szCs w:val="22"/>
                <w:lang w:val="fr-CA"/>
              </w:rPr>
              <w:t>I</w:t>
            </w:r>
          </w:p>
        </w:tc>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53C2" w:rsidRPr="00AA2347" w:rsidRDefault="000C53C2" w:rsidP="009B5ED1">
            <w:pPr>
              <w:jc w:val="center"/>
              <w:rPr>
                <w:color w:val="000000"/>
                <w:sz w:val="22"/>
                <w:szCs w:val="22"/>
                <w:lang w:val="fr-CA"/>
              </w:rPr>
            </w:pPr>
            <w:r w:rsidRPr="00AA2347">
              <w:rPr>
                <w:color w:val="000000"/>
                <w:sz w:val="22"/>
                <w:szCs w:val="22"/>
                <w:lang w:val="fr-CA"/>
              </w:rPr>
              <w:t>I</w:t>
            </w:r>
          </w:p>
        </w:tc>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53C2" w:rsidRPr="00AA2347" w:rsidRDefault="000C53C2" w:rsidP="009B5ED1">
            <w:pPr>
              <w:jc w:val="center"/>
              <w:rPr>
                <w:color w:val="000000"/>
                <w:sz w:val="22"/>
                <w:szCs w:val="22"/>
                <w:lang w:val="fr-CA"/>
              </w:rPr>
            </w:pPr>
            <w:r w:rsidRPr="00AA2347">
              <w:rPr>
                <w:color w:val="000000"/>
                <w:sz w:val="22"/>
                <w:szCs w:val="22"/>
                <w:lang w:val="fr-CA"/>
              </w:rPr>
              <w:t>I</w:t>
            </w:r>
          </w:p>
        </w:tc>
        <w:tc>
          <w:tcPr>
            <w:tcW w:w="1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53C2" w:rsidRPr="00AA2347" w:rsidRDefault="000C53C2" w:rsidP="009B5ED1">
            <w:pPr>
              <w:jc w:val="center"/>
              <w:rPr>
                <w:color w:val="000000"/>
                <w:sz w:val="22"/>
                <w:szCs w:val="22"/>
                <w:lang w:val="fr-CA"/>
              </w:rPr>
            </w:pPr>
            <w:r w:rsidRPr="00AA2347">
              <w:rPr>
                <w:color w:val="000000"/>
                <w:sz w:val="22"/>
                <w:szCs w:val="22"/>
                <w:lang w:val="fr-CA"/>
              </w:rPr>
              <w:t>I</w:t>
            </w:r>
          </w:p>
        </w:tc>
        <w:tc>
          <w:tcPr>
            <w:tcW w:w="1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53C2" w:rsidRPr="00AA2347" w:rsidRDefault="000C53C2" w:rsidP="009B5ED1">
            <w:pPr>
              <w:jc w:val="center"/>
              <w:rPr>
                <w:color w:val="000000"/>
                <w:sz w:val="22"/>
                <w:szCs w:val="22"/>
                <w:lang w:val="fr-CA"/>
              </w:rPr>
            </w:pPr>
            <w:r w:rsidRPr="00AA2347">
              <w:rPr>
                <w:color w:val="000000"/>
                <w:sz w:val="22"/>
                <w:szCs w:val="22"/>
                <w:lang w:val="fr-CA"/>
              </w:rPr>
              <w:t>I</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53C2" w:rsidRPr="00AA2347" w:rsidRDefault="000C53C2" w:rsidP="009B5ED1">
            <w:pPr>
              <w:jc w:val="center"/>
              <w:rPr>
                <w:color w:val="000000"/>
                <w:sz w:val="22"/>
                <w:szCs w:val="22"/>
                <w:lang w:val="fr-CA"/>
              </w:rPr>
            </w:pPr>
            <w:r w:rsidRPr="00AA2347">
              <w:rPr>
                <w:color w:val="000000"/>
                <w:sz w:val="22"/>
                <w:szCs w:val="22"/>
                <w:lang w:val="fr-CA"/>
              </w:rPr>
              <w:t>I</w:t>
            </w:r>
          </w:p>
        </w:tc>
        <w:tc>
          <w:tcPr>
            <w:tcW w:w="185" w:type="pct"/>
            <w:tcBorders>
              <w:top w:val="single" w:sz="4" w:space="0" w:color="auto"/>
              <w:left w:val="single" w:sz="4" w:space="0" w:color="auto"/>
              <w:bottom w:val="single" w:sz="4" w:space="0" w:color="auto"/>
              <w:right w:val="single" w:sz="4" w:space="0" w:color="auto"/>
            </w:tcBorders>
            <w:vAlign w:val="center"/>
          </w:tcPr>
          <w:p w:rsidR="000C53C2" w:rsidRPr="00AA2347" w:rsidRDefault="000C53C2" w:rsidP="009B5ED1">
            <w:pPr>
              <w:jc w:val="center"/>
              <w:rPr>
                <w:color w:val="000000"/>
                <w:sz w:val="22"/>
                <w:szCs w:val="22"/>
                <w:lang w:val="fr-CA"/>
              </w:rPr>
            </w:pPr>
            <w:r w:rsidRPr="00AA2347">
              <w:rPr>
                <w:color w:val="000000"/>
                <w:sz w:val="22"/>
                <w:szCs w:val="22"/>
                <w:lang w:val="fr-CA"/>
              </w:rPr>
              <w:t>I</w:t>
            </w:r>
          </w:p>
        </w:tc>
      </w:tr>
      <w:tr w:rsidR="000C53C2" w:rsidRPr="00AA2347" w:rsidTr="009B5ED1">
        <w:trPr>
          <w:cantSplit/>
          <w:trHeight w:val="360"/>
          <w:tblHeader/>
        </w:trPr>
        <w:tc>
          <w:tcPr>
            <w:tcW w:w="189" w:type="pct"/>
            <w:vMerge/>
            <w:tcBorders>
              <w:left w:val="nil"/>
              <w:bottom w:val="single" w:sz="4" w:space="0" w:color="auto"/>
              <w:right w:val="single" w:sz="4" w:space="0" w:color="auto"/>
            </w:tcBorders>
            <w:shd w:val="clear" w:color="auto" w:fill="FFFFFF" w:themeFill="background1"/>
          </w:tcPr>
          <w:p w:rsidR="000C53C2" w:rsidRPr="00AA2347" w:rsidRDefault="000C53C2" w:rsidP="009B5ED1">
            <w:pPr>
              <w:jc w:val="center"/>
              <w:rPr>
                <w:sz w:val="22"/>
                <w:szCs w:val="22"/>
              </w:rPr>
            </w:pPr>
          </w:p>
        </w:tc>
        <w:tc>
          <w:tcPr>
            <w:tcW w:w="167" w:type="pct"/>
            <w:tcBorders>
              <w:right w:val="single" w:sz="4" w:space="0" w:color="auto"/>
            </w:tcBorders>
            <w:shd w:val="clear" w:color="auto" w:fill="auto"/>
            <w:noWrap/>
            <w:vAlign w:val="center"/>
            <w:hideMark/>
          </w:tcPr>
          <w:p w:rsidR="000C53C2" w:rsidRPr="00AA2347" w:rsidRDefault="000C53C2" w:rsidP="009B5ED1">
            <w:pPr>
              <w:jc w:val="center"/>
              <w:rPr>
                <w:sz w:val="22"/>
                <w:szCs w:val="22"/>
              </w:rPr>
            </w:pPr>
            <w:r w:rsidRPr="00AA2347">
              <w:rPr>
                <w:sz w:val="22"/>
                <w:szCs w:val="22"/>
              </w:rPr>
              <w:t>-2</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53C2" w:rsidRPr="00AA2347" w:rsidRDefault="000C53C2" w:rsidP="009B5ED1">
            <w:pPr>
              <w:jc w:val="center"/>
              <w:rPr>
                <w:color w:val="000000"/>
                <w:sz w:val="22"/>
                <w:szCs w:val="22"/>
              </w:rPr>
            </w:pPr>
            <w:r w:rsidRPr="00AA2347">
              <w:rPr>
                <w:color w:val="000000"/>
                <w:sz w:val="22"/>
                <w:szCs w:val="22"/>
                <w:lang w:val="fr-CA"/>
              </w:rPr>
              <w:t>I</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53C2" w:rsidRPr="00AA2347" w:rsidRDefault="000C53C2" w:rsidP="009B5ED1">
            <w:pPr>
              <w:jc w:val="center"/>
              <w:rPr>
                <w:color w:val="000000"/>
                <w:sz w:val="22"/>
                <w:szCs w:val="22"/>
              </w:rPr>
            </w:pPr>
            <w:r w:rsidRPr="00AA2347">
              <w:rPr>
                <w:color w:val="000000"/>
                <w:sz w:val="22"/>
                <w:szCs w:val="22"/>
                <w:lang w:val="fr-CA"/>
              </w:rPr>
              <w:t>I</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53C2" w:rsidRPr="00AA2347" w:rsidRDefault="000C53C2" w:rsidP="009B5ED1">
            <w:pPr>
              <w:jc w:val="center"/>
              <w:rPr>
                <w:color w:val="000000"/>
                <w:sz w:val="22"/>
                <w:szCs w:val="22"/>
              </w:rPr>
            </w:pPr>
            <w:r w:rsidRPr="00AA2347">
              <w:rPr>
                <w:color w:val="000000"/>
                <w:sz w:val="22"/>
                <w:szCs w:val="22"/>
                <w:lang w:val="fr-CA"/>
              </w:rPr>
              <w:t>I</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53C2" w:rsidRPr="00AA2347" w:rsidRDefault="000C53C2" w:rsidP="009B5ED1">
            <w:pPr>
              <w:jc w:val="center"/>
              <w:rPr>
                <w:color w:val="000000"/>
                <w:sz w:val="22"/>
                <w:szCs w:val="22"/>
              </w:rPr>
            </w:pPr>
            <w:r w:rsidRPr="00AA2347">
              <w:rPr>
                <w:color w:val="000000"/>
                <w:sz w:val="22"/>
                <w:szCs w:val="22"/>
                <w:lang w:val="fr-CA"/>
              </w:rPr>
              <w:t>I</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53C2" w:rsidRPr="00AA2347" w:rsidRDefault="000C53C2" w:rsidP="009B5ED1">
            <w:pPr>
              <w:jc w:val="center"/>
              <w:rPr>
                <w:color w:val="000000"/>
                <w:sz w:val="22"/>
                <w:szCs w:val="22"/>
              </w:rPr>
            </w:pPr>
            <w:r w:rsidRPr="00AA2347">
              <w:rPr>
                <w:color w:val="000000"/>
                <w:sz w:val="22"/>
                <w:szCs w:val="22"/>
                <w:lang w:val="fr-CA"/>
              </w:rPr>
              <w:t>I</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53C2" w:rsidRPr="00AA2347" w:rsidRDefault="000C53C2" w:rsidP="009B5ED1">
            <w:pPr>
              <w:jc w:val="center"/>
              <w:rPr>
                <w:color w:val="000000"/>
                <w:sz w:val="22"/>
                <w:szCs w:val="22"/>
                <w:lang w:val="fr-CA"/>
              </w:rPr>
            </w:pPr>
            <w:r w:rsidRPr="00AA2347">
              <w:rPr>
                <w:color w:val="000000"/>
                <w:sz w:val="22"/>
                <w:szCs w:val="22"/>
                <w:lang w:val="fr-CA"/>
              </w:rPr>
              <w:t>I</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53C2" w:rsidRPr="00AA2347" w:rsidRDefault="000C53C2" w:rsidP="009B5ED1">
            <w:pPr>
              <w:jc w:val="center"/>
              <w:rPr>
                <w:color w:val="000000"/>
                <w:sz w:val="22"/>
                <w:szCs w:val="22"/>
                <w:lang w:val="fr-CA"/>
              </w:rPr>
            </w:pPr>
            <w:r w:rsidRPr="00AA2347">
              <w:rPr>
                <w:color w:val="000000"/>
                <w:sz w:val="22"/>
                <w:szCs w:val="22"/>
                <w:lang w:val="fr-CA"/>
              </w:rPr>
              <w:t>I</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53C2" w:rsidRPr="00AA2347" w:rsidRDefault="000C53C2" w:rsidP="009B5ED1">
            <w:pPr>
              <w:jc w:val="center"/>
              <w:rPr>
                <w:color w:val="000000"/>
                <w:sz w:val="22"/>
                <w:szCs w:val="22"/>
                <w:lang w:val="fr-CA"/>
              </w:rPr>
            </w:pPr>
            <w:r w:rsidRPr="00AA2347">
              <w:rPr>
                <w:color w:val="000000"/>
                <w:sz w:val="22"/>
                <w:szCs w:val="22"/>
                <w:lang w:val="fr-CA"/>
              </w:rPr>
              <w:t>I</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53C2" w:rsidRPr="00AA2347" w:rsidRDefault="000C53C2" w:rsidP="009B5ED1">
            <w:pPr>
              <w:jc w:val="center"/>
              <w:rPr>
                <w:color w:val="000000"/>
                <w:sz w:val="22"/>
                <w:szCs w:val="22"/>
                <w:lang w:val="fr-CA"/>
              </w:rPr>
            </w:pPr>
            <w:r w:rsidRPr="00AA2347">
              <w:rPr>
                <w:color w:val="000000"/>
                <w:sz w:val="22"/>
                <w:szCs w:val="22"/>
                <w:lang w:val="fr-CA"/>
              </w:rPr>
              <w:t>I</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53C2" w:rsidRPr="00AA2347" w:rsidRDefault="000C53C2" w:rsidP="009B5ED1">
            <w:pPr>
              <w:jc w:val="center"/>
              <w:rPr>
                <w:color w:val="000000"/>
                <w:sz w:val="22"/>
                <w:szCs w:val="22"/>
                <w:lang w:val="fr-CA"/>
              </w:rPr>
            </w:pPr>
            <w:r w:rsidRPr="00AA2347">
              <w:rPr>
                <w:color w:val="000000"/>
                <w:sz w:val="22"/>
                <w:szCs w:val="22"/>
                <w:lang w:val="fr-CA"/>
              </w:rPr>
              <w:t>I</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53C2" w:rsidRPr="00AA2347" w:rsidRDefault="000C53C2" w:rsidP="009B5ED1">
            <w:pPr>
              <w:jc w:val="center"/>
              <w:rPr>
                <w:color w:val="000000"/>
                <w:sz w:val="22"/>
                <w:szCs w:val="22"/>
                <w:lang w:val="fr-CA"/>
              </w:rPr>
            </w:pPr>
            <w:r w:rsidRPr="00AA2347">
              <w:rPr>
                <w:color w:val="000000"/>
                <w:sz w:val="22"/>
                <w:szCs w:val="22"/>
                <w:lang w:val="fr-CA"/>
              </w:rPr>
              <w:t>I</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53C2" w:rsidRPr="00AA2347" w:rsidRDefault="000C53C2" w:rsidP="009B5ED1">
            <w:pPr>
              <w:jc w:val="center"/>
              <w:rPr>
                <w:color w:val="000000"/>
                <w:sz w:val="22"/>
                <w:szCs w:val="22"/>
                <w:lang w:val="fr-CA"/>
              </w:rPr>
            </w:pPr>
            <w:r w:rsidRPr="00AA2347">
              <w:rPr>
                <w:color w:val="000000"/>
                <w:sz w:val="22"/>
                <w:szCs w:val="22"/>
                <w:lang w:val="fr-CA"/>
              </w:rPr>
              <w:t>I</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53C2" w:rsidRPr="00AA2347" w:rsidRDefault="000C53C2" w:rsidP="009B5ED1">
            <w:pPr>
              <w:jc w:val="center"/>
              <w:rPr>
                <w:color w:val="000000"/>
                <w:sz w:val="22"/>
                <w:szCs w:val="22"/>
                <w:lang w:val="fr-CA"/>
              </w:rPr>
            </w:pPr>
            <w:r w:rsidRPr="00AA2347">
              <w:rPr>
                <w:color w:val="000000"/>
                <w:sz w:val="22"/>
                <w:szCs w:val="22"/>
                <w:lang w:val="fr-CA"/>
              </w:rPr>
              <w:t>I</w:t>
            </w:r>
          </w:p>
        </w:tc>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53C2" w:rsidRPr="00AA2347" w:rsidRDefault="000C53C2" w:rsidP="009B5ED1">
            <w:pPr>
              <w:jc w:val="center"/>
              <w:rPr>
                <w:color w:val="000000"/>
                <w:sz w:val="22"/>
                <w:szCs w:val="22"/>
                <w:lang w:val="fr-CA"/>
              </w:rPr>
            </w:pPr>
            <w:r w:rsidRPr="00AA2347">
              <w:rPr>
                <w:color w:val="000000"/>
                <w:sz w:val="22"/>
                <w:szCs w:val="22"/>
                <w:lang w:val="fr-CA"/>
              </w:rPr>
              <w:t>I</w:t>
            </w:r>
          </w:p>
        </w:tc>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53C2" w:rsidRPr="00AA2347" w:rsidRDefault="000C53C2" w:rsidP="009B5ED1">
            <w:pPr>
              <w:jc w:val="center"/>
              <w:rPr>
                <w:color w:val="000000"/>
                <w:sz w:val="22"/>
                <w:szCs w:val="22"/>
                <w:lang w:val="fr-CA"/>
              </w:rPr>
            </w:pPr>
            <w:r w:rsidRPr="00AA2347">
              <w:rPr>
                <w:color w:val="000000"/>
                <w:sz w:val="22"/>
                <w:szCs w:val="22"/>
                <w:lang w:val="fr-CA"/>
              </w:rPr>
              <w:t>I</w:t>
            </w:r>
          </w:p>
        </w:tc>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53C2" w:rsidRPr="00AA2347" w:rsidRDefault="000C53C2" w:rsidP="009B5ED1">
            <w:pPr>
              <w:jc w:val="center"/>
              <w:rPr>
                <w:color w:val="000000"/>
                <w:sz w:val="22"/>
                <w:szCs w:val="22"/>
                <w:lang w:val="fr-CA"/>
              </w:rPr>
            </w:pPr>
            <w:r w:rsidRPr="00AA2347">
              <w:rPr>
                <w:color w:val="000000"/>
                <w:sz w:val="22"/>
                <w:szCs w:val="22"/>
                <w:lang w:val="fr-CA"/>
              </w:rPr>
              <w:t>I</w:t>
            </w:r>
          </w:p>
        </w:tc>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53C2" w:rsidRPr="00AA2347" w:rsidRDefault="000C53C2" w:rsidP="009B5ED1">
            <w:pPr>
              <w:jc w:val="center"/>
              <w:rPr>
                <w:color w:val="000000"/>
                <w:sz w:val="22"/>
                <w:szCs w:val="22"/>
                <w:lang w:val="fr-CA"/>
              </w:rPr>
            </w:pPr>
            <w:r w:rsidRPr="00AA2347">
              <w:rPr>
                <w:color w:val="000000"/>
                <w:sz w:val="22"/>
                <w:szCs w:val="22"/>
                <w:lang w:val="fr-CA"/>
              </w:rPr>
              <w:t>I</w:t>
            </w:r>
          </w:p>
        </w:tc>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53C2" w:rsidRPr="00AA2347" w:rsidRDefault="000C53C2" w:rsidP="009B5ED1">
            <w:pPr>
              <w:jc w:val="center"/>
              <w:rPr>
                <w:color w:val="000000"/>
                <w:sz w:val="22"/>
                <w:szCs w:val="22"/>
                <w:lang w:val="fr-CA"/>
              </w:rPr>
            </w:pPr>
            <w:r w:rsidRPr="00AA2347">
              <w:rPr>
                <w:color w:val="000000"/>
                <w:sz w:val="22"/>
                <w:szCs w:val="22"/>
                <w:lang w:val="fr-CA"/>
              </w:rPr>
              <w:t>I</w:t>
            </w:r>
          </w:p>
        </w:tc>
        <w:tc>
          <w:tcPr>
            <w:tcW w:w="1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53C2" w:rsidRPr="00AA2347" w:rsidRDefault="000C53C2" w:rsidP="009B5ED1">
            <w:pPr>
              <w:jc w:val="center"/>
              <w:rPr>
                <w:color w:val="000000"/>
                <w:sz w:val="22"/>
                <w:szCs w:val="22"/>
                <w:lang w:val="fr-CA"/>
              </w:rPr>
            </w:pPr>
            <w:r w:rsidRPr="00AA2347">
              <w:rPr>
                <w:color w:val="000000"/>
                <w:sz w:val="22"/>
                <w:szCs w:val="22"/>
                <w:lang w:val="fr-CA"/>
              </w:rPr>
              <w:t>I</w:t>
            </w:r>
          </w:p>
        </w:tc>
        <w:tc>
          <w:tcPr>
            <w:tcW w:w="1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53C2" w:rsidRPr="00AA2347" w:rsidRDefault="000C53C2" w:rsidP="009B5ED1">
            <w:pPr>
              <w:jc w:val="center"/>
              <w:rPr>
                <w:color w:val="000000"/>
                <w:sz w:val="22"/>
                <w:szCs w:val="22"/>
                <w:lang w:val="fr-CA"/>
              </w:rPr>
            </w:pPr>
            <w:r w:rsidRPr="00AA2347">
              <w:rPr>
                <w:color w:val="000000"/>
                <w:sz w:val="22"/>
                <w:szCs w:val="22"/>
                <w:lang w:val="fr-CA"/>
              </w:rPr>
              <w:t>I</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53C2" w:rsidRPr="00AA2347" w:rsidRDefault="000C53C2" w:rsidP="009B5ED1">
            <w:pPr>
              <w:jc w:val="center"/>
              <w:rPr>
                <w:color w:val="000000"/>
                <w:sz w:val="22"/>
                <w:szCs w:val="22"/>
                <w:lang w:val="fr-CA"/>
              </w:rPr>
            </w:pPr>
            <w:r w:rsidRPr="00AA2347">
              <w:rPr>
                <w:color w:val="000000"/>
                <w:sz w:val="22"/>
                <w:szCs w:val="22"/>
                <w:lang w:val="fr-CA"/>
              </w:rPr>
              <w:t>I</w:t>
            </w:r>
          </w:p>
        </w:tc>
        <w:tc>
          <w:tcPr>
            <w:tcW w:w="185" w:type="pct"/>
            <w:tcBorders>
              <w:top w:val="single" w:sz="4" w:space="0" w:color="auto"/>
              <w:left w:val="single" w:sz="4" w:space="0" w:color="auto"/>
              <w:bottom w:val="single" w:sz="4" w:space="0" w:color="auto"/>
              <w:right w:val="single" w:sz="4" w:space="0" w:color="auto"/>
            </w:tcBorders>
            <w:vAlign w:val="center"/>
          </w:tcPr>
          <w:p w:rsidR="000C53C2" w:rsidRPr="00AA2347" w:rsidRDefault="000C53C2" w:rsidP="009B5ED1">
            <w:pPr>
              <w:jc w:val="center"/>
            </w:pPr>
            <w:r w:rsidRPr="00AA2347">
              <w:rPr>
                <w:color w:val="000000"/>
                <w:sz w:val="22"/>
                <w:szCs w:val="22"/>
                <w:lang w:val="fr-CA"/>
              </w:rPr>
              <w:t>I</w:t>
            </w:r>
          </w:p>
        </w:tc>
      </w:tr>
      <w:tr w:rsidR="000C53C2" w:rsidRPr="00AA2347" w:rsidTr="009B5ED1">
        <w:trPr>
          <w:cantSplit/>
          <w:trHeight w:val="360"/>
          <w:tblHeader/>
        </w:trPr>
        <w:tc>
          <w:tcPr>
            <w:tcW w:w="189" w:type="pct"/>
            <w:vMerge/>
            <w:tcBorders>
              <w:left w:val="nil"/>
              <w:bottom w:val="single" w:sz="4" w:space="0" w:color="auto"/>
              <w:right w:val="single" w:sz="4" w:space="0" w:color="auto"/>
            </w:tcBorders>
            <w:shd w:val="clear" w:color="auto" w:fill="F2F2F2" w:themeFill="background1" w:themeFillShade="F2"/>
          </w:tcPr>
          <w:p w:rsidR="000C53C2" w:rsidRPr="00AA2347" w:rsidRDefault="000C53C2" w:rsidP="009B5ED1">
            <w:pPr>
              <w:jc w:val="center"/>
              <w:rPr>
                <w:sz w:val="22"/>
                <w:szCs w:val="22"/>
              </w:rPr>
            </w:pPr>
          </w:p>
        </w:tc>
        <w:tc>
          <w:tcPr>
            <w:tcW w:w="167" w:type="pct"/>
            <w:tcBorders>
              <w:right w:val="single" w:sz="4" w:space="0" w:color="auto"/>
            </w:tcBorders>
            <w:shd w:val="clear" w:color="auto" w:fill="auto"/>
            <w:noWrap/>
            <w:vAlign w:val="center"/>
            <w:hideMark/>
          </w:tcPr>
          <w:p w:rsidR="000C53C2" w:rsidRPr="00AA2347" w:rsidRDefault="000C53C2" w:rsidP="009B5ED1">
            <w:pPr>
              <w:jc w:val="center"/>
              <w:rPr>
                <w:sz w:val="22"/>
                <w:szCs w:val="22"/>
              </w:rPr>
            </w:pPr>
            <w:r w:rsidRPr="00AA2347">
              <w:rPr>
                <w:sz w:val="22"/>
                <w:szCs w:val="22"/>
              </w:rPr>
              <w:t>-1</w:t>
            </w:r>
          </w:p>
        </w:tc>
        <w:tc>
          <w:tcPr>
            <w:tcW w:w="220"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0C53C2" w:rsidRPr="00AA2347" w:rsidRDefault="000C53C2" w:rsidP="009B5ED1">
            <w:pPr>
              <w:jc w:val="center"/>
              <w:rPr>
                <w:sz w:val="22"/>
                <w:szCs w:val="22"/>
              </w:rPr>
            </w:pPr>
            <w:r w:rsidRPr="00AA2347">
              <w:rPr>
                <w:color w:val="000000"/>
                <w:sz w:val="22"/>
                <w:szCs w:val="22"/>
              </w:rPr>
              <w:t>II</w:t>
            </w:r>
          </w:p>
        </w:tc>
        <w:tc>
          <w:tcPr>
            <w:tcW w:w="220"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0C53C2" w:rsidRPr="00AA2347" w:rsidRDefault="000C53C2" w:rsidP="009B5ED1">
            <w:pPr>
              <w:jc w:val="center"/>
              <w:rPr>
                <w:color w:val="000000"/>
                <w:sz w:val="22"/>
                <w:szCs w:val="22"/>
              </w:rPr>
            </w:pPr>
            <w:r w:rsidRPr="00AA2347">
              <w:rPr>
                <w:color w:val="000000"/>
                <w:sz w:val="22"/>
                <w:szCs w:val="22"/>
              </w:rPr>
              <w:t>II</w:t>
            </w:r>
          </w:p>
        </w:tc>
        <w:tc>
          <w:tcPr>
            <w:tcW w:w="220"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0C53C2" w:rsidRPr="00AA2347" w:rsidRDefault="000C53C2" w:rsidP="009B5ED1">
            <w:pPr>
              <w:jc w:val="center"/>
              <w:rPr>
                <w:color w:val="000000"/>
                <w:sz w:val="22"/>
                <w:szCs w:val="22"/>
              </w:rPr>
            </w:pPr>
            <w:r w:rsidRPr="00AA2347">
              <w:rPr>
                <w:color w:val="000000"/>
                <w:sz w:val="22"/>
                <w:szCs w:val="22"/>
              </w:rPr>
              <w:t>II</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53C2" w:rsidRPr="00AA2347" w:rsidRDefault="000C53C2" w:rsidP="009B5ED1">
            <w:pPr>
              <w:jc w:val="center"/>
              <w:rPr>
                <w:color w:val="000000"/>
                <w:sz w:val="22"/>
                <w:szCs w:val="22"/>
              </w:rPr>
            </w:pPr>
            <w:r w:rsidRPr="00AA2347">
              <w:rPr>
                <w:color w:val="000000"/>
                <w:sz w:val="22"/>
                <w:szCs w:val="22"/>
                <w:lang w:val="fr-CA"/>
              </w:rPr>
              <w:t>I</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53C2" w:rsidRPr="00AA2347" w:rsidRDefault="000C53C2" w:rsidP="009B5ED1">
            <w:pPr>
              <w:jc w:val="center"/>
              <w:rPr>
                <w:color w:val="000000"/>
                <w:sz w:val="22"/>
                <w:szCs w:val="22"/>
              </w:rPr>
            </w:pPr>
            <w:r w:rsidRPr="00AA2347">
              <w:rPr>
                <w:color w:val="000000"/>
                <w:sz w:val="22"/>
                <w:szCs w:val="22"/>
                <w:lang w:val="fr-CA"/>
              </w:rPr>
              <w:t>I</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53C2" w:rsidRPr="00AA2347" w:rsidRDefault="000C53C2" w:rsidP="009B5ED1">
            <w:pPr>
              <w:jc w:val="center"/>
              <w:rPr>
                <w:color w:val="000000"/>
                <w:sz w:val="22"/>
                <w:szCs w:val="22"/>
                <w:lang w:val="fr-CA"/>
              </w:rPr>
            </w:pPr>
            <w:r w:rsidRPr="00AA2347">
              <w:rPr>
                <w:color w:val="000000"/>
                <w:sz w:val="22"/>
                <w:szCs w:val="22"/>
                <w:lang w:val="fr-CA"/>
              </w:rPr>
              <w:t>I</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53C2" w:rsidRPr="00AA2347" w:rsidRDefault="000C53C2" w:rsidP="009B5ED1">
            <w:pPr>
              <w:jc w:val="center"/>
              <w:rPr>
                <w:color w:val="000000"/>
                <w:sz w:val="22"/>
                <w:szCs w:val="22"/>
              </w:rPr>
            </w:pPr>
            <w:r w:rsidRPr="00AA2347">
              <w:rPr>
                <w:color w:val="000000"/>
                <w:sz w:val="22"/>
                <w:szCs w:val="22"/>
                <w:lang w:val="fr-CA"/>
              </w:rPr>
              <w:t>I</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53C2" w:rsidRPr="00AA2347" w:rsidRDefault="000C53C2" w:rsidP="009B5ED1">
            <w:pPr>
              <w:jc w:val="center"/>
              <w:rPr>
                <w:color w:val="000000"/>
                <w:sz w:val="22"/>
                <w:szCs w:val="22"/>
              </w:rPr>
            </w:pPr>
            <w:r w:rsidRPr="00AA2347">
              <w:rPr>
                <w:color w:val="000000"/>
                <w:sz w:val="22"/>
                <w:szCs w:val="22"/>
                <w:lang w:val="fr-CA"/>
              </w:rPr>
              <w:t>I</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53C2" w:rsidRPr="00AA2347" w:rsidRDefault="000C53C2" w:rsidP="009B5ED1">
            <w:pPr>
              <w:jc w:val="center"/>
              <w:rPr>
                <w:color w:val="000000"/>
                <w:sz w:val="22"/>
                <w:szCs w:val="22"/>
                <w:lang w:val="fr-CA"/>
              </w:rPr>
            </w:pPr>
            <w:r w:rsidRPr="00AA2347">
              <w:rPr>
                <w:color w:val="000000"/>
                <w:sz w:val="22"/>
                <w:szCs w:val="22"/>
                <w:lang w:val="fr-CA"/>
              </w:rPr>
              <w:t>I</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53C2" w:rsidRPr="00AA2347" w:rsidRDefault="000C53C2" w:rsidP="009B5ED1">
            <w:pPr>
              <w:jc w:val="center"/>
              <w:rPr>
                <w:color w:val="000000"/>
                <w:sz w:val="22"/>
                <w:szCs w:val="22"/>
              </w:rPr>
            </w:pPr>
            <w:r w:rsidRPr="00AA2347">
              <w:rPr>
                <w:color w:val="000000"/>
                <w:sz w:val="22"/>
                <w:szCs w:val="22"/>
                <w:lang w:val="fr-CA"/>
              </w:rPr>
              <w:t>I</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53C2" w:rsidRPr="00AA2347" w:rsidRDefault="000C53C2" w:rsidP="009B5ED1">
            <w:pPr>
              <w:jc w:val="center"/>
              <w:rPr>
                <w:color w:val="000000"/>
                <w:sz w:val="22"/>
                <w:szCs w:val="22"/>
              </w:rPr>
            </w:pPr>
            <w:r w:rsidRPr="00AA2347">
              <w:rPr>
                <w:color w:val="000000"/>
                <w:sz w:val="22"/>
                <w:szCs w:val="22"/>
                <w:lang w:val="fr-CA"/>
              </w:rPr>
              <w:t>I</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53C2" w:rsidRPr="00AA2347" w:rsidRDefault="000C53C2" w:rsidP="009B5ED1">
            <w:pPr>
              <w:jc w:val="center"/>
              <w:rPr>
                <w:color w:val="000000"/>
                <w:sz w:val="22"/>
                <w:szCs w:val="22"/>
                <w:lang w:val="fr-CA"/>
              </w:rPr>
            </w:pPr>
            <w:r w:rsidRPr="00AA2347">
              <w:rPr>
                <w:color w:val="000000"/>
                <w:sz w:val="22"/>
                <w:szCs w:val="22"/>
                <w:lang w:val="fr-CA"/>
              </w:rPr>
              <w:t>I</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53C2" w:rsidRPr="00AA2347" w:rsidRDefault="000C53C2" w:rsidP="009B5ED1">
            <w:pPr>
              <w:jc w:val="center"/>
              <w:rPr>
                <w:color w:val="000000"/>
                <w:sz w:val="22"/>
                <w:szCs w:val="22"/>
              </w:rPr>
            </w:pPr>
            <w:r w:rsidRPr="00AA2347">
              <w:rPr>
                <w:color w:val="000000"/>
                <w:sz w:val="22"/>
                <w:szCs w:val="22"/>
                <w:lang w:val="fr-CA"/>
              </w:rPr>
              <w:t>I</w:t>
            </w:r>
          </w:p>
        </w:tc>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53C2" w:rsidRPr="00AA2347" w:rsidRDefault="000C53C2" w:rsidP="009B5ED1">
            <w:pPr>
              <w:jc w:val="center"/>
              <w:rPr>
                <w:color w:val="000000"/>
                <w:sz w:val="22"/>
                <w:szCs w:val="22"/>
              </w:rPr>
            </w:pPr>
            <w:r w:rsidRPr="00AA2347">
              <w:rPr>
                <w:color w:val="000000"/>
                <w:sz w:val="22"/>
                <w:szCs w:val="22"/>
                <w:lang w:val="fr-CA"/>
              </w:rPr>
              <w:t>I</w:t>
            </w:r>
          </w:p>
        </w:tc>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53C2" w:rsidRPr="00AA2347" w:rsidRDefault="000C53C2" w:rsidP="009B5ED1">
            <w:pPr>
              <w:jc w:val="center"/>
              <w:rPr>
                <w:color w:val="000000"/>
                <w:sz w:val="22"/>
                <w:szCs w:val="22"/>
                <w:lang w:val="fr-CA"/>
              </w:rPr>
            </w:pPr>
            <w:r w:rsidRPr="00AA2347">
              <w:rPr>
                <w:color w:val="000000"/>
                <w:sz w:val="22"/>
                <w:szCs w:val="22"/>
                <w:lang w:val="fr-CA"/>
              </w:rPr>
              <w:t>I</w:t>
            </w:r>
          </w:p>
        </w:tc>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53C2" w:rsidRPr="00AA2347" w:rsidRDefault="000C53C2" w:rsidP="009B5ED1">
            <w:pPr>
              <w:jc w:val="center"/>
              <w:rPr>
                <w:color w:val="000000"/>
                <w:sz w:val="22"/>
                <w:szCs w:val="22"/>
              </w:rPr>
            </w:pPr>
            <w:r w:rsidRPr="00AA2347">
              <w:rPr>
                <w:color w:val="000000"/>
                <w:sz w:val="22"/>
                <w:szCs w:val="22"/>
                <w:lang w:val="fr-CA"/>
              </w:rPr>
              <w:t>I</w:t>
            </w:r>
          </w:p>
        </w:tc>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53C2" w:rsidRPr="00AA2347" w:rsidRDefault="000C53C2" w:rsidP="009B5ED1">
            <w:pPr>
              <w:jc w:val="center"/>
              <w:rPr>
                <w:color w:val="000000"/>
                <w:sz w:val="22"/>
                <w:szCs w:val="22"/>
              </w:rPr>
            </w:pPr>
            <w:r w:rsidRPr="00AA2347">
              <w:rPr>
                <w:color w:val="000000"/>
                <w:sz w:val="22"/>
                <w:szCs w:val="22"/>
                <w:lang w:val="fr-CA"/>
              </w:rPr>
              <w:t>I</w:t>
            </w:r>
          </w:p>
        </w:tc>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53C2" w:rsidRPr="00AA2347" w:rsidRDefault="000C53C2" w:rsidP="009B5ED1">
            <w:pPr>
              <w:jc w:val="center"/>
              <w:rPr>
                <w:color w:val="000000"/>
                <w:sz w:val="22"/>
                <w:szCs w:val="22"/>
                <w:lang w:val="fr-CA"/>
              </w:rPr>
            </w:pPr>
            <w:r w:rsidRPr="00AA2347">
              <w:rPr>
                <w:color w:val="000000"/>
                <w:sz w:val="22"/>
                <w:szCs w:val="22"/>
                <w:lang w:val="fr-CA"/>
              </w:rPr>
              <w:t>I</w:t>
            </w:r>
          </w:p>
        </w:tc>
        <w:tc>
          <w:tcPr>
            <w:tcW w:w="1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53C2" w:rsidRPr="00AA2347" w:rsidRDefault="000C53C2" w:rsidP="009B5ED1">
            <w:pPr>
              <w:jc w:val="center"/>
              <w:rPr>
                <w:color w:val="000000"/>
                <w:sz w:val="22"/>
                <w:szCs w:val="22"/>
              </w:rPr>
            </w:pPr>
            <w:r w:rsidRPr="00AA2347">
              <w:rPr>
                <w:color w:val="000000"/>
                <w:sz w:val="22"/>
                <w:szCs w:val="22"/>
                <w:lang w:val="fr-CA"/>
              </w:rPr>
              <w:t>I</w:t>
            </w:r>
          </w:p>
        </w:tc>
        <w:tc>
          <w:tcPr>
            <w:tcW w:w="1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53C2" w:rsidRPr="00AA2347" w:rsidRDefault="000C53C2" w:rsidP="009B5ED1">
            <w:pPr>
              <w:jc w:val="center"/>
              <w:rPr>
                <w:color w:val="000000"/>
                <w:sz w:val="22"/>
                <w:szCs w:val="22"/>
              </w:rPr>
            </w:pPr>
            <w:r w:rsidRPr="00AA2347">
              <w:rPr>
                <w:color w:val="000000"/>
                <w:sz w:val="22"/>
                <w:szCs w:val="22"/>
                <w:lang w:val="fr-CA"/>
              </w:rPr>
              <w:t>I</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53C2" w:rsidRPr="00AA2347" w:rsidRDefault="000C53C2" w:rsidP="009B5ED1">
            <w:pPr>
              <w:jc w:val="center"/>
              <w:rPr>
                <w:color w:val="000000"/>
                <w:sz w:val="22"/>
                <w:szCs w:val="22"/>
                <w:lang w:val="fr-CA"/>
              </w:rPr>
            </w:pPr>
            <w:r w:rsidRPr="00AA2347">
              <w:rPr>
                <w:color w:val="000000"/>
                <w:sz w:val="22"/>
                <w:szCs w:val="22"/>
                <w:lang w:val="fr-CA"/>
              </w:rPr>
              <w:t>I</w:t>
            </w:r>
          </w:p>
        </w:tc>
        <w:tc>
          <w:tcPr>
            <w:tcW w:w="185" w:type="pct"/>
            <w:tcBorders>
              <w:top w:val="single" w:sz="4" w:space="0" w:color="auto"/>
              <w:left w:val="single" w:sz="4" w:space="0" w:color="auto"/>
              <w:bottom w:val="single" w:sz="4" w:space="0" w:color="auto"/>
              <w:right w:val="single" w:sz="4" w:space="0" w:color="auto"/>
            </w:tcBorders>
            <w:vAlign w:val="center"/>
          </w:tcPr>
          <w:p w:rsidR="000C53C2" w:rsidRPr="00AA2347" w:rsidRDefault="000C53C2" w:rsidP="009B5ED1">
            <w:pPr>
              <w:jc w:val="center"/>
            </w:pPr>
            <w:r w:rsidRPr="00AA2347">
              <w:rPr>
                <w:color w:val="000000"/>
                <w:sz w:val="22"/>
                <w:szCs w:val="22"/>
                <w:lang w:val="fr-CA"/>
              </w:rPr>
              <w:t>I</w:t>
            </w:r>
          </w:p>
        </w:tc>
      </w:tr>
      <w:tr w:rsidR="000C53C2" w:rsidRPr="00AA2347" w:rsidTr="009B5ED1">
        <w:trPr>
          <w:cantSplit/>
          <w:trHeight w:val="360"/>
          <w:tblHeader/>
        </w:trPr>
        <w:tc>
          <w:tcPr>
            <w:tcW w:w="189" w:type="pct"/>
            <w:vMerge/>
            <w:tcBorders>
              <w:left w:val="nil"/>
              <w:bottom w:val="single" w:sz="4" w:space="0" w:color="auto"/>
              <w:right w:val="single" w:sz="4" w:space="0" w:color="auto"/>
            </w:tcBorders>
            <w:shd w:val="clear" w:color="auto" w:fill="F2F2F2" w:themeFill="background1" w:themeFillShade="F2"/>
          </w:tcPr>
          <w:p w:rsidR="000C53C2" w:rsidRPr="00AA2347" w:rsidRDefault="000C53C2" w:rsidP="009B5ED1">
            <w:pPr>
              <w:jc w:val="center"/>
              <w:rPr>
                <w:sz w:val="22"/>
                <w:szCs w:val="22"/>
              </w:rPr>
            </w:pPr>
          </w:p>
        </w:tc>
        <w:tc>
          <w:tcPr>
            <w:tcW w:w="167" w:type="pct"/>
            <w:tcBorders>
              <w:right w:val="single" w:sz="4" w:space="0" w:color="auto"/>
            </w:tcBorders>
            <w:shd w:val="clear" w:color="auto" w:fill="auto"/>
            <w:noWrap/>
            <w:vAlign w:val="center"/>
            <w:hideMark/>
          </w:tcPr>
          <w:p w:rsidR="000C53C2" w:rsidRPr="00AA2347" w:rsidRDefault="000C53C2" w:rsidP="009B5ED1">
            <w:pPr>
              <w:jc w:val="center"/>
              <w:rPr>
                <w:sz w:val="22"/>
                <w:szCs w:val="22"/>
              </w:rPr>
            </w:pPr>
            <w:r w:rsidRPr="00AA2347">
              <w:rPr>
                <w:sz w:val="22"/>
                <w:szCs w:val="22"/>
              </w:rPr>
              <w:t>0</w:t>
            </w:r>
          </w:p>
        </w:tc>
        <w:tc>
          <w:tcPr>
            <w:tcW w:w="220"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0C53C2" w:rsidRPr="00AA2347" w:rsidRDefault="000C53C2" w:rsidP="009B5ED1">
            <w:pPr>
              <w:jc w:val="center"/>
              <w:rPr>
                <w:sz w:val="22"/>
                <w:szCs w:val="22"/>
              </w:rPr>
            </w:pPr>
            <w:r w:rsidRPr="00AA2347">
              <w:rPr>
                <w:color w:val="000000"/>
                <w:sz w:val="22"/>
                <w:szCs w:val="22"/>
              </w:rPr>
              <w:t>II</w:t>
            </w:r>
          </w:p>
        </w:tc>
        <w:tc>
          <w:tcPr>
            <w:tcW w:w="220"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0C53C2" w:rsidRPr="00AA2347" w:rsidRDefault="000C53C2" w:rsidP="009B5ED1">
            <w:pPr>
              <w:jc w:val="center"/>
              <w:rPr>
                <w:color w:val="000000"/>
                <w:sz w:val="22"/>
                <w:szCs w:val="22"/>
              </w:rPr>
            </w:pPr>
            <w:r w:rsidRPr="00AA2347">
              <w:rPr>
                <w:color w:val="000000"/>
                <w:sz w:val="22"/>
                <w:szCs w:val="22"/>
              </w:rPr>
              <w:t>II</w:t>
            </w:r>
          </w:p>
        </w:tc>
        <w:tc>
          <w:tcPr>
            <w:tcW w:w="220"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0C53C2" w:rsidRPr="00AA2347" w:rsidRDefault="000C53C2" w:rsidP="009B5ED1">
            <w:pPr>
              <w:jc w:val="center"/>
              <w:rPr>
                <w:color w:val="000000"/>
                <w:sz w:val="22"/>
                <w:szCs w:val="22"/>
              </w:rPr>
            </w:pPr>
            <w:r w:rsidRPr="00AA2347">
              <w:rPr>
                <w:color w:val="000000"/>
                <w:sz w:val="22"/>
                <w:szCs w:val="22"/>
              </w:rPr>
              <w:t>II</w:t>
            </w:r>
          </w:p>
        </w:tc>
        <w:tc>
          <w:tcPr>
            <w:tcW w:w="220"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0C53C2" w:rsidRPr="00AA2347" w:rsidRDefault="000C53C2" w:rsidP="009B5ED1">
            <w:pPr>
              <w:jc w:val="center"/>
              <w:rPr>
                <w:color w:val="000000"/>
                <w:sz w:val="22"/>
                <w:szCs w:val="22"/>
              </w:rPr>
            </w:pPr>
            <w:r w:rsidRPr="00AA2347">
              <w:rPr>
                <w:color w:val="000000"/>
                <w:sz w:val="22"/>
                <w:szCs w:val="22"/>
              </w:rPr>
              <w:t>II</w:t>
            </w:r>
          </w:p>
        </w:tc>
        <w:tc>
          <w:tcPr>
            <w:tcW w:w="220"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0C53C2" w:rsidRPr="00AA2347" w:rsidRDefault="000C53C2" w:rsidP="009B5ED1">
            <w:pPr>
              <w:jc w:val="center"/>
              <w:rPr>
                <w:color w:val="000000"/>
                <w:sz w:val="22"/>
                <w:szCs w:val="22"/>
              </w:rPr>
            </w:pPr>
            <w:r w:rsidRPr="00AA2347">
              <w:rPr>
                <w:color w:val="000000"/>
                <w:sz w:val="22"/>
                <w:szCs w:val="22"/>
              </w:rPr>
              <w:t>II</w:t>
            </w:r>
          </w:p>
        </w:tc>
        <w:tc>
          <w:tcPr>
            <w:tcW w:w="220"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0C53C2" w:rsidRPr="00AA2347" w:rsidRDefault="000C53C2" w:rsidP="009B5ED1">
            <w:pPr>
              <w:jc w:val="center"/>
              <w:rPr>
                <w:color w:val="000000"/>
                <w:sz w:val="22"/>
                <w:szCs w:val="22"/>
              </w:rPr>
            </w:pPr>
            <w:r w:rsidRPr="00AA2347">
              <w:rPr>
                <w:color w:val="000000"/>
                <w:sz w:val="22"/>
                <w:szCs w:val="22"/>
              </w:rPr>
              <w:t>II</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53C2" w:rsidRPr="00AA2347" w:rsidRDefault="000C53C2" w:rsidP="009B5ED1">
            <w:pPr>
              <w:jc w:val="center"/>
              <w:rPr>
                <w:color w:val="000000"/>
                <w:sz w:val="22"/>
                <w:szCs w:val="22"/>
              </w:rPr>
            </w:pPr>
            <w:r w:rsidRPr="00AA2347">
              <w:rPr>
                <w:color w:val="000000"/>
                <w:sz w:val="22"/>
                <w:szCs w:val="22"/>
              </w:rPr>
              <w:t>I</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53C2" w:rsidRPr="00AA2347" w:rsidRDefault="000C53C2" w:rsidP="009B5ED1">
            <w:pPr>
              <w:jc w:val="center"/>
              <w:rPr>
                <w:color w:val="000000"/>
                <w:sz w:val="22"/>
                <w:szCs w:val="22"/>
              </w:rPr>
            </w:pPr>
            <w:r w:rsidRPr="00AA2347">
              <w:rPr>
                <w:color w:val="000000"/>
                <w:sz w:val="22"/>
                <w:szCs w:val="22"/>
                <w:lang w:val="fr-CA"/>
              </w:rPr>
              <w:t>I</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53C2" w:rsidRPr="00AA2347" w:rsidRDefault="000C53C2" w:rsidP="009B5ED1">
            <w:pPr>
              <w:jc w:val="center"/>
              <w:rPr>
                <w:color w:val="000000"/>
                <w:sz w:val="22"/>
                <w:szCs w:val="22"/>
              </w:rPr>
            </w:pPr>
            <w:r w:rsidRPr="00AA2347">
              <w:rPr>
                <w:color w:val="000000"/>
                <w:sz w:val="22"/>
                <w:szCs w:val="22"/>
                <w:lang w:val="fr-CA"/>
              </w:rPr>
              <w:t>I</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53C2" w:rsidRPr="00AA2347" w:rsidRDefault="000C53C2" w:rsidP="009B5ED1">
            <w:pPr>
              <w:jc w:val="center"/>
              <w:rPr>
                <w:color w:val="000000"/>
                <w:sz w:val="22"/>
                <w:szCs w:val="22"/>
                <w:lang w:val="fr-CA"/>
              </w:rPr>
            </w:pPr>
            <w:r w:rsidRPr="00AA2347">
              <w:rPr>
                <w:color w:val="000000"/>
                <w:sz w:val="22"/>
                <w:szCs w:val="22"/>
                <w:lang w:val="fr-CA"/>
              </w:rPr>
              <w:t>I</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53C2" w:rsidRPr="00AA2347" w:rsidRDefault="000C53C2" w:rsidP="009B5ED1">
            <w:pPr>
              <w:jc w:val="center"/>
              <w:rPr>
                <w:color w:val="000000"/>
                <w:sz w:val="22"/>
                <w:szCs w:val="22"/>
              </w:rPr>
            </w:pPr>
            <w:r w:rsidRPr="00AA2347">
              <w:rPr>
                <w:color w:val="000000"/>
                <w:sz w:val="22"/>
                <w:szCs w:val="22"/>
                <w:lang w:val="fr-CA"/>
              </w:rPr>
              <w:t>I</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53C2" w:rsidRPr="00AA2347" w:rsidRDefault="000C53C2" w:rsidP="009B5ED1">
            <w:pPr>
              <w:jc w:val="center"/>
              <w:rPr>
                <w:color w:val="000000"/>
                <w:sz w:val="22"/>
                <w:szCs w:val="22"/>
              </w:rPr>
            </w:pPr>
            <w:r w:rsidRPr="00AA2347">
              <w:rPr>
                <w:color w:val="000000"/>
                <w:sz w:val="22"/>
                <w:szCs w:val="22"/>
                <w:lang w:val="fr-CA"/>
              </w:rPr>
              <w:t>I</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53C2" w:rsidRPr="00AA2347" w:rsidRDefault="000C53C2" w:rsidP="009B5ED1">
            <w:pPr>
              <w:jc w:val="center"/>
              <w:rPr>
                <w:color w:val="000000"/>
                <w:sz w:val="22"/>
                <w:szCs w:val="22"/>
                <w:lang w:val="fr-CA"/>
              </w:rPr>
            </w:pPr>
            <w:r w:rsidRPr="00AA2347">
              <w:rPr>
                <w:color w:val="000000"/>
                <w:sz w:val="22"/>
                <w:szCs w:val="22"/>
                <w:lang w:val="fr-CA"/>
              </w:rPr>
              <w:t>I</w:t>
            </w:r>
          </w:p>
        </w:tc>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53C2" w:rsidRPr="00AA2347" w:rsidRDefault="000C53C2" w:rsidP="009B5ED1">
            <w:pPr>
              <w:jc w:val="center"/>
              <w:rPr>
                <w:color w:val="000000"/>
                <w:sz w:val="22"/>
                <w:szCs w:val="22"/>
              </w:rPr>
            </w:pPr>
            <w:r w:rsidRPr="00AA2347">
              <w:rPr>
                <w:color w:val="000000"/>
                <w:sz w:val="22"/>
                <w:szCs w:val="22"/>
                <w:lang w:val="fr-CA"/>
              </w:rPr>
              <w:t>I</w:t>
            </w:r>
          </w:p>
        </w:tc>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53C2" w:rsidRPr="00AA2347" w:rsidRDefault="000C53C2" w:rsidP="009B5ED1">
            <w:pPr>
              <w:jc w:val="center"/>
              <w:rPr>
                <w:color w:val="000000"/>
                <w:sz w:val="22"/>
                <w:szCs w:val="22"/>
              </w:rPr>
            </w:pPr>
            <w:r w:rsidRPr="00AA2347">
              <w:rPr>
                <w:color w:val="000000"/>
                <w:sz w:val="22"/>
                <w:szCs w:val="22"/>
                <w:lang w:val="fr-CA"/>
              </w:rPr>
              <w:t>I</w:t>
            </w:r>
          </w:p>
        </w:tc>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53C2" w:rsidRPr="00AA2347" w:rsidRDefault="000C53C2" w:rsidP="009B5ED1">
            <w:pPr>
              <w:jc w:val="center"/>
              <w:rPr>
                <w:color w:val="000000"/>
                <w:sz w:val="22"/>
                <w:szCs w:val="22"/>
                <w:lang w:val="fr-CA"/>
              </w:rPr>
            </w:pPr>
            <w:r w:rsidRPr="00AA2347">
              <w:rPr>
                <w:color w:val="000000"/>
                <w:sz w:val="22"/>
                <w:szCs w:val="22"/>
                <w:lang w:val="fr-CA"/>
              </w:rPr>
              <w:t>I</w:t>
            </w:r>
          </w:p>
        </w:tc>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53C2" w:rsidRPr="00AA2347" w:rsidRDefault="000C53C2" w:rsidP="009B5ED1">
            <w:pPr>
              <w:jc w:val="center"/>
              <w:rPr>
                <w:color w:val="000000"/>
                <w:sz w:val="22"/>
                <w:szCs w:val="22"/>
              </w:rPr>
            </w:pPr>
            <w:r w:rsidRPr="00AA2347">
              <w:rPr>
                <w:color w:val="000000"/>
                <w:sz w:val="22"/>
                <w:szCs w:val="22"/>
                <w:lang w:val="fr-CA"/>
              </w:rPr>
              <w:t>I</w:t>
            </w:r>
          </w:p>
        </w:tc>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53C2" w:rsidRPr="00AA2347" w:rsidRDefault="000C53C2" w:rsidP="009B5ED1">
            <w:pPr>
              <w:jc w:val="center"/>
              <w:rPr>
                <w:color w:val="000000"/>
                <w:sz w:val="22"/>
                <w:szCs w:val="22"/>
              </w:rPr>
            </w:pPr>
            <w:r w:rsidRPr="00AA2347">
              <w:rPr>
                <w:color w:val="000000"/>
                <w:sz w:val="22"/>
                <w:szCs w:val="22"/>
                <w:lang w:val="fr-CA"/>
              </w:rPr>
              <w:t>I</w:t>
            </w:r>
          </w:p>
        </w:tc>
        <w:tc>
          <w:tcPr>
            <w:tcW w:w="1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53C2" w:rsidRPr="00AA2347" w:rsidRDefault="000C53C2" w:rsidP="009B5ED1">
            <w:pPr>
              <w:jc w:val="center"/>
              <w:rPr>
                <w:color w:val="000000"/>
                <w:sz w:val="22"/>
                <w:szCs w:val="22"/>
                <w:lang w:val="fr-CA"/>
              </w:rPr>
            </w:pPr>
            <w:r w:rsidRPr="00AA2347">
              <w:rPr>
                <w:color w:val="000000"/>
                <w:sz w:val="22"/>
                <w:szCs w:val="22"/>
                <w:lang w:val="fr-CA"/>
              </w:rPr>
              <w:t>I</w:t>
            </w:r>
          </w:p>
        </w:tc>
        <w:tc>
          <w:tcPr>
            <w:tcW w:w="1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53C2" w:rsidRPr="00AA2347" w:rsidRDefault="000C53C2" w:rsidP="009B5ED1">
            <w:pPr>
              <w:jc w:val="center"/>
              <w:rPr>
                <w:color w:val="000000"/>
                <w:sz w:val="22"/>
                <w:szCs w:val="22"/>
              </w:rPr>
            </w:pPr>
            <w:r w:rsidRPr="00AA2347">
              <w:rPr>
                <w:color w:val="000000"/>
                <w:sz w:val="22"/>
                <w:szCs w:val="22"/>
                <w:lang w:val="fr-CA"/>
              </w:rPr>
              <w:t>I</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53C2" w:rsidRPr="00AA2347" w:rsidRDefault="000C53C2" w:rsidP="009B5ED1">
            <w:pPr>
              <w:jc w:val="center"/>
              <w:rPr>
                <w:color w:val="000000"/>
                <w:sz w:val="22"/>
                <w:szCs w:val="22"/>
              </w:rPr>
            </w:pPr>
            <w:r w:rsidRPr="00AA2347">
              <w:rPr>
                <w:color w:val="000000"/>
                <w:sz w:val="22"/>
                <w:szCs w:val="22"/>
                <w:lang w:val="fr-CA"/>
              </w:rPr>
              <w:t>I</w:t>
            </w:r>
          </w:p>
        </w:tc>
        <w:tc>
          <w:tcPr>
            <w:tcW w:w="185" w:type="pct"/>
            <w:tcBorders>
              <w:top w:val="single" w:sz="4" w:space="0" w:color="auto"/>
              <w:left w:val="single" w:sz="4" w:space="0" w:color="auto"/>
              <w:bottom w:val="single" w:sz="4" w:space="0" w:color="auto"/>
              <w:right w:val="single" w:sz="4" w:space="0" w:color="auto"/>
            </w:tcBorders>
            <w:vAlign w:val="center"/>
          </w:tcPr>
          <w:p w:rsidR="000C53C2" w:rsidRPr="00AA2347" w:rsidRDefault="000C53C2" w:rsidP="009B5ED1">
            <w:pPr>
              <w:jc w:val="center"/>
            </w:pPr>
            <w:r w:rsidRPr="00AA2347">
              <w:rPr>
                <w:color w:val="000000"/>
                <w:sz w:val="22"/>
                <w:szCs w:val="22"/>
                <w:lang w:val="fr-CA"/>
              </w:rPr>
              <w:t>I</w:t>
            </w:r>
          </w:p>
        </w:tc>
      </w:tr>
      <w:tr w:rsidR="000C53C2" w:rsidRPr="00AA2347" w:rsidTr="009B5ED1">
        <w:trPr>
          <w:cantSplit/>
          <w:trHeight w:val="360"/>
          <w:tblHeader/>
        </w:trPr>
        <w:tc>
          <w:tcPr>
            <w:tcW w:w="189" w:type="pct"/>
            <w:vMerge/>
            <w:tcBorders>
              <w:left w:val="nil"/>
              <w:bottom w:val="single" w:sz="4" w:space="0" w:color="auto"/>
              <w:right w:val="single" w:sz="4" w:space="0" w:color="auto"/>
            </w:tcBorders>
            <w:shd w:val="clear" w:color="auto" w:fill="D9D9D9" w:themeFill="background1" w:themeFillShade="D9"/>
          </w:tcPr>
          <w:p w:rsidR="000C53C2" w:rsidRPr="00AA2347" w:rsidRDefault="000C53C2" w:rsidP="009B5ED1">
            <w:pPr>
              <w:jc w:val="center"/>
              <w:rPr>
                <w:sz w:val="22"/>
                <w:szCs w:val="22"/>
              </w:rPr>
            </w:pPr>
          </w:p>
        </w:tc>
        <w:tc>
          <w:tcPr>
            <w:tcW w:w="167" w:type="pct"/>
            <w:tcBorders>
              <w:right w:val="single" w:sz="4" w:space="0" w:color="auto"/>
            </w:tcBorders>
            <w:shd w:val="clear" w:color="auto" w:fill="auto"/>
            <w:noWrap/>
            <w:vAlign w:val="center"/>
            <w:hideMark/>
          </w:tcPr>
          <w:p w:rsidR="000C53C2" w:rsidRPr="00AA2347" w:rsidRDefault="000C53C2" w:rsidP="009B5ED1">
            <w:pPr>
              <w:jc w:val="center"/>
              <w:rPr>
                <w:sz w:val="22"/>
                <w:szCs w:val="22"/>
              </w:rPr>
            </w:pPr>
            <w:r w:rsidRPr="00AA2347">
              <w:rPr>
                <w:sz w:val="22"/>
                <w:szCs w:val="22"/>
              </w:rPr>
              <w:t>1</w:t>
            </w:r>
          </w:p>
        </w:tc>
        <w:tc>
          <w:tcPr>
            <w:tcW w:w="22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0C53C2" w:rsidRPr="00AA2347" w:rsidRDefault="000C53C2" w:rsidP="009B5ED1">
            <w:pPr>
              <w:jc w:val="center"/>
              <w:rPr>
                <w:color w:val="000000"/>
                <w:sz w:val="22"/>
                <w:szCs w:val="22"/>
              </w:rPr>
            </w:pPr>
            <w:r w:rsidRPr="00AA2347">
              <w:rPr>
                <w:color w:val="000000"/>
                <w:sz w:val="22"/>
                <w:szCs w:val="22"/>
              </w:rPr>
              <w:t>III</w:t>
            </w:r>
          </w:p>
        </w:tc>
        <w:tc>
          <w:tcPr>
            <w:tcW w:w="22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0C53C2" w:rsidRPr="00AA2347" w:rsidRDefault="000C53C2" w:rsidP="009B5ED1">
            <w:pPr>
              <w:jc w:val="center"/>
              <w:rPr>
                <w:color w:val="000000"/>
                <w:sz w:val="22"/>
                <w:szCs w:val="22"/>
              </w:rPr>
            </w:pPr>
            <w:r w:rsidRPr="00AA2347">
              <w:rPr>
                <w:color w:val="000000"/>
                <w:sz w:val="22"/>
                <w:szCs w:val="22"/>
              </w:rPr>
              <w:t>III</w:t>
            </w:r>
          </w:p>
        </w:tc>
        <w:tc>
          <w:tcPr>
            <w:tcW w:w="22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0C53C2" w:rsidRPr="00AA2347" w:rsidRDefault="000C53C2" w:rsidP="009B5ED1">
            <w:pPr>
              <w:jc w:val="center"/>
              <w:rPr>
                <w:color w:val="000000"/>
                <w:sz w:val="22"/>
                <w:szCs w:val="22"/>
              </w:rPr>
            </w:pPr>
            <w:r w:rsidRPr="00AA2347">
              <w:rPr>
                <w:color w:val="000000"/>
                <w:sz w:val="22"/>
                <w:szCs w:val="22"/>
              </w:rPr>
              <w:t>III</w:t>
            </w:r>
          </w:p>
        </w:tc>
        <w:tc>
          <w:tcPr>
            <w:tcW w:w="220"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0C53C2" w:rsidRPr="00AA2347" w:rsidRDefault="000C53C2" w:rsidP="009B5ED1">
            <w:pPr>
              <w:jc w:val="center"/>
              <w:rPr>
                <w:color w:val="000000"/>
                <w:sz w:val="22"/>
                <w:szCs w:val="22"/>
              </w:rPr>
            </w:pPr>
            <w:r w:rsidRPr="00AA2347">
              <w:rPr>
                <w:color w:val="000000"/>
                <w:sz w:val="22"/>
                <w:szCs w:val="22"/>
              </w:rPr>
              <w:t>II</w:t>
            </w:r>
          </w:p>
        </w:tc>
        <w:tc>
          <w:tcPr>
            <w:tcW w:w="220"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0C53C2" w:rsidRPr="00AA2347" w:rsidRDefault="000C53C2" w:rsidP="009B5ED1">
            <w:pPr>
              <w:jc w:val="center"/>
              <w:rPr>
                <w:sz w:val="22"/>
                <w:szCs w:val="22"/>
              </w:rPr>
            </w:pPr>
            <w:r w:rsidRPr="00AA2347">
              <w:rPr>
                <w:color w:val="000000"/>
                <w:sz w:val="22"/>
                <w:szCs w:val="22"/>
              </w:rPr>
              <w:t>II</w:t>
            </w:r>
          </w:p>
        </w:tc>
        <w:tc>
          <w:tcPr>
            <w:tcW w:w="220"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0C53C2" w:rsidRPr="00AA2347" w:rsidRDefault="000C53C2" w:rsidP="009B5ED1">
            <w:pPr>
              <w:jc w:val="center"/>
              <w:rPr>
                <w:sz w:val="22"/>
                <w:szCs w:val="22"/>
              </w:rPr>
            </w:pPr>
            <w:r w:rsidRPr="00AA2347">
              <w:rPr>
                <w:color w:val="000000"/>
                <w:sz w:val="22"/>
                <w:szCs w:val="22"/>
              </w:rPr>
              <w:t>II</w:t>
            </w:r>
          </w:p>
        </w:tc>
        <w:tc>
          <w:tcPr>
            <w:tcW w:w="220"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0C53C2" w:rsidRPr="00AA2347" w:rsidRDefault="000C53C2" w:rsidP="009B5ED1">
            <w:pPr>
              <w:jc w:val="center"/>
              <w:rPr>
                <w:sz w:val="22"/>
                <w:szCs w:val="22"/>
              </w:rPr>
            </w:pPr>
            <w:r w:rsidRPr="00AA2347">
              <w:rPr>
                <w:color w:val="000000"/>
                <w:sz w:val="22"/>
                <w:szCs w:val="22"/>
              </w:rPr>
              <w:t>II</w:t>
            </w:r>
          </w:p>
        </w:tc>
        <w:tc>
          <w:tcPr>
            <w:tcW w:w="220"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0C53C2" w:rsidRPr="00AA2347" w:rsidRDefault="000C53C2" w:rsidP="009B5ED1">
            <w:pPr>
              <w:jc w:val="center"/>
              <w:rPr>
                <w:sz w:val="22"/>
                <w:szCs w:val="22"/>
              </w:rPr>
            </w:pPr>
            <w:r w:rsidRPr="00AA2347">
              <w:rPr>
                <w:color w:val="000000"/>
                <w:sz w:val="22"/>
                <w:szCs w:val="22"/>
              </w:rPr>
              <w:t>II</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53C2" w:rsidRPr="00AA2347" w:rsidRDefault="000C53C2" w:rsidP="009B5ED1">
            <w:pPr>
              <w:jc w:val="center"/>
              <w:rPr>
                <w:color w:val="000000"/>
                <w:sz w:val="22"/>
                <w:szCs w:val="22"/>
              </w:rPr>
            </w:pPr>
            <w:r w:rsidRPr="00AA2347">
              <w:rPr>
                <w:color w:val="000000"/>
                <w:sz w:val="22"/>
                <w:szCs w:val="22"/>
                <w:lang w:val="fr-CA"/>
              </w:rPr>
              <w:t>I</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53C2" w:rsidRPr="00AA2347" w:rsidRDefault="000C53C2" w:rsidP="009B5ED1">
            <w:pPr>
              <w:jc w:val="center"/>
              <w:rPr>
                <w:color w:val="000000"/>
                <w:sz w:val="22"/>
                <w:szCs w:val="22"/>
                <w:lang w:val="fr-CA"/>
              </w:rPr>
            </w:pPr>
            <w:r w:rsidRPr="00AA2347">
              <w:rPr>
                <w:color w:val="000000"/>
                <w:sz w:val="22"/>
                <w:szCs w:val="22"/>
                <w:lang w:val="fr-CA"/>
              </w:rPr>
              <w:t>I</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53C2" w:rsidRPr="00AA2347" w:rsidRDefault="000C53C2" w:rsidP="009B5ED1">
            <w:pPr>
              <w:jc w:val="center"/>
              <w:rPr>
                <w:color w:val="000000"/>
                <w:sz w:val="22"/>
                <w:szCs w:val="22"/>
              </w:rPr>
            </w:pPr>
            <w:r w:rsidRPr="00AA2347">
              <w:rPr>
                <w:color w:val="000000"/>
                <w:sz w:val="22"/>
                <w:szCs w:val="22"/>
                <w:lang w:val="fr-CA"/>
              </w:rPr>
              <w:t>I</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53C2" w:rsidRPr="00AA2347" w:rsidRDefault="000C53C2" w:rsidP="009B5ED1">
            <w:pPr>
              <w:jc w:val="center"/>
              <w:rPr>
                <w:color w:val="000000"/>
                <w:sz w:val="22"/>
                <w:szCs w:val="22"/>
                <w:lang w:val="fr-CA"/>
              </w:rPr>
            </w:pPr>
            <w:r w:rsidRPr="00AA2347">
              <w:rPr>
                <w:color w:val="000000"/>
                <w:sz w:val="22"/>
                <w:szCs w:val="22"/>
                <w:lang w:val="fr-CA"/>
              </w:rPr>
              <w:t>I</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53C2" w:rsidRPr="00AA2347" w:rsidRDefault="000C53C2" w:rsidP="009B5ED1">
            <w:pPr>
              <w:jc w:val="center"/>
              <w:rPr>
                <w:color w:val="000000"/>
                <w:sz w:val="22"/>
                <w:szCs w:val="22"/>
              </w:rPr>
            </w:pPr>
            <w:r w:rsidRPr="00AA2347">
              <w:rPr>
                <w:color w:val="000000"/>
                <w:sz w:val="22"/>
                <w:szCs w:val="22"/>
                <w:lang w:val="fr-CA"/>
              </w:rPr>
              <w:t>I</w:t>
            </w:r>
          </w:p>
        </w:tc>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53C2" w:rsidRPr="00AA2347" w:rsidRDefault="000C53C2" w:rsidP="009B5ED1">
            <w:pPr>
              <w:jc w:val="center"/>
              <w:rPr>
                <w:color w:val="000000"/>
                <w:sz w:val="22"/>
                <w:szCs w:val="22"/>
                <w:lang w:val="fr-CA"/>
              </w:rPr>
            </w:pPr>
            <w:r w:rsidRPr="00AA2347">
              <w:rPr>
                <w:color w:val="000000"/>
                <w:sz w:val="22"/>
                <w:szCs w:val="22"/>
                <w:lang w:val="fr-CA"/>
              </w:rPr>
              <w:t>I</w:t>
            </w:r>
          </w:p>
        </w:tc>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53C2" w:rsidRPr="00AA2347" w:rsidRDefault="000C53C2" w:rsidP="009B5ED1">
            <w:pPr>
              <w:jc w:val="center"/>
              <w:rPr>
                <w:color w:val="000000"/>
                <w:sz w:val="22"/>
                <w:szCs w:val="22"/>
              </w:rPr>
            </w:pPr>
            <w:r w:rsidRPr="00AA2347">
              <w:rPr>
                <w:color w:val="000000"/>
                <w:sz w:val="22"/>
                <w:szCs w:val="22"/>
                <w:lang w:val="fr-CA"/>
              </w:rPr>
              <w:t>I</w:t>
            </w:r>
          </w:p>
        </w:tc>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53C2" w:rsidRPr="00AA2347" w:rsidRDefault="000C53C2" w:rsidP="009B5ED1">
            <w:pPr>
              <w:jc w:val="center"/>
              <w:rPr>
                <w:color w:val="000000"/>
                <w:sz w:val="22"/>
                <w:szCs w:val="22"/>
                <w:lang w:val="fr-CA"/>
              </w:rPr>
            </w:pPr>
            <w:r w:rsidRPr="00AA2347">
              <w:rPr>
                <w:color w:val="000000"/>
                <w:sz w:val="22"/>
                <w:szCs w:val="22"/>
                <w:lang w:val="fr-CA"/>
              </w:rPr>
              <w:t>I</w:t>
            </w:r>
          </w:p>
        </w:tc>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53C2" w:rsidRPr="00AA2347" w:rsidRDefault="000C53C2" w:rsidP="009B5ED1">
            <w:pPr>
              <w:jc w:val="center"/>
              <w:rPr>
                <w:color w:val="000000"/>
                <w:sz w:val="22"/>
                <w:szCs w:val="22"/>
              </w:rPr>
            </w:pPr>
            <w:r w:rsidRPr="00AA2347">
              <w:rPr>
                <w:color w:val="000000"/>
                <w:sz w:val="22"/>
                <w:szCs w:val="22"/>
                <w:lang w:val="fr-CA"/>
              </w:rPr>
              <w:t>I</w:t>
            </w:r>
          </w:p>
        </w:tc>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53C2" w:rsidRPr="00AA2347" w:rsidRDefault="000C53C2" w:rsidP="009B5ED1">
            <w:pPr>
              <w:jc w:val="center"/>
              <w:rPr>
                <w:color w:val="000000"/>
                <w:sz w:val="22"/>
                <w:szCs w:val="22"/>
                <w:lang w:val="fr-CA"/>
              </w:rPr>
            </w:pPr>
            <w:r w:rsidRPr="00AA2347">
              <w:rPr>
                <w:color w:val="000000"/>
                <w:sz w:val="22"/>
                <w:szCs w:val="22"/>
                <w:lang w:val="fr-CA"/>
              </w:rPr>
              <w:t>I</w:t>
            </w:r>
          </w:p>
        </w:tc>
        <w:tc>
          <w:tcPr>
            <w:tcW w:w="1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53C2" w:rsidRPr="00AA2347" w:rsidRDefault="000C53C2" w:rsidP="009B5ED1">
            <w:pPr>
              <w:jc w:val="center"/>
              <w:rPr>
                <w:color w:val="000000"/>
                <w:sz w:val="22"/>
                <w:szCs w:val="22"/>
              </w:rPr>
            </w:pPr>
            <w:r w:rsidRPr="00AA2347">
              <w:rPr>
                <w:color w:val="000000"/>
                <w:sz w:val="22"/>
                <w:szCs w:val="22"/>
                <w:lang w:val="fr-CA"/>
              </w:rPr>
              <w:t>I</w:t>
            </w:r>
          </w:p>
        </w:tc>
        <w:tc>
          <w:tcPr>
            <w:tcW w:w="1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53C2" w:rsidRPr="00AA2347" w:rsidRDefault="000C53C2" w:rsidP="009B5ED1">
            <w:pPr>
              <w:jc w:val="center"/>
              <w:rPr>
                <w:color w:val="000000"/>
                <w:sz w:val="22"/>
                <w:szCs w:val="22"/>
                <w:lang w:val="fr-CA"/>
              </w:rPr>
            </w:pPr>
            <w:r w:rsidRPr="00AA2347">
              <w:rPr>
                <w:color w:val="000000"/>
                <w:sz w:val="22"/>
                <w:szCs w:val="22"/>
                <w:lang w:val="fr-CA"/>
              </w:rPr>
              <w:t>I</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53C2" w:rsidRPr="00AA2347" w:rsidRDefault="000C53C2" w:rsidP="009B5ED1">
            <w:pPr>
              <w:jc w:val="center"/>
              <w:rPr>
                <w:color w:val="000000"/>
                <w:sz w:val="22"/>
                <w:szCs w:val="22"/>
              </w:rPr>
            </w:pPr>
            <w:r w:rsidRPr="00AA2347">
              <w:rPr>
                <w:color w:val="000000"/>
                <w:sz w:val="22"/>
                <w:szCs w:val="22"/>
                <w:lang w:val="fr-CA"/>
              </w:rPr>
              <w:t>I</w:t>
            </w:r>
          </w:p>
        </w:tc>
        <w:tc>
          <w:tcPr>
            <w:tcW w:w="185" w:type="pct"/>
            <w:tcBorders>
              <w:top w:val="single" w:sz="4" w:space="0" w:color="auto"/>
              <w:left w:val="single" w:sz="4" w:space="0" w:color="auto"/>
              <w:bottom w:val="single" w:sz="4" w:space="0" w:color="auto"/>
              <w:right w:val="single" w:sz="4" w:space="0" w:color="auto"/>
            </w:tcBorders>
            <w:vAlign w:val="center"/>
          </w:tcPr>
          <w:p w:rsidR="000C53C2" w:rsidRPr="00AA2347" w:rsidRDefault="000C53C2" w:rsidP="009B5ED1">
            <w:pPr>
              <w:jc w:val="center"/>
            </w:pPr>
            <w:r w:rsidRPr="00AA2347">
              <w:rPr>
                <w:color w:val="000000"/>
                <w:sz w:val="22"/>
                <w:szCs w:val="22"/>
                <w:lang w:val="fr-CA"/>
              </w:rPr>
              <w:t>I</w:t>
            </w:r>
          </w:p>
        </w:tc>
      </w:tr>
      <w:tr w:rsidR="000C53C2" w:rsidRPr="00AA2347" w:rsidTr="009B5ED1">
        <w:trPr>
          <w:cantSplit/>
          <w:trHeight w:val="360"/>
          <w:tblHeader/>
        </w:trPr>
        <w:tc>
          <w:tcPr>
            <w:tcW w:w="189" w:type="pct"/>
            <w:vMerge/>
            <w:tcBorders>
              <w:left w:val="nil"/>
              <w:bottom w:val="single" w:sz="4" w:space="0" w:color="auto"/>
              <w:right w:val="single" w:sz="4" w:space="0" w:color="auto"/>
            </w:tcBorders>
            <w:shd w:val="clear" w:color="auto" w:fill="D9D9D9" w:themeFill="background1" w:themeFillShade="D9"/>
          </w:tcPr>
          <w:p w:rsidR="000C53C2" w:rsidRPr="00AA2347" w:rsidRDefault="000C53C2" w:rsidP="009B5ED1">
            <w:pPr>
              <w:jc w:val="center"/>
              <w:rPr>
                <w:sz w:val="22"/>
                <w:szCs w:val="22"/>
              </w:rPr>
            </w:pPr>
          </w:p>
        </w:tc>
        <w:tc>
          <w:tcPr>
            <w:tcW w:w="167" w:type="pct"/>
            <w:tcBorders>
              <w:right w:val="single" w:sz="4" w:space="0" w:color="auto"/>
            </w:tcBorders>
            <w:shd w:val="clear" w:color="auto" w:fill="auto"/>
            <w:noWrap/>
            <w:vAlign w:val="center"/>
            <w:hideMark/>
          </w:tcPr>
          <w:p w:rsidR="000C53C2" w:rsidRPr="00AA2347" w:rsidRDefault="000C53C2" w:rsidP="009B5ED1">
            <w:pPr>
              <w:jc w:val="center"/>
              <w:rPr>
                <w:sz w:val="22"/>
                <w:szCs w:val="22"/>
              </w:rPr>
            </w:pPr>
            <w:r w:rsidRPr="00AA2347">
              <w:rPr>
                <w:sz w:val="22"/>
                <w:szCs w:val="22"/>
              </w:rPr>
              <w:t>2</w:t>
            </w:r>
          </w:p>
        </w:tc>
        <w:tc>
          <w:tcPr>
            <w:tcW w:w="22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0C53C2" w:rsidRPr="00AA2347" w:rsidRDefault="000C53C2" w:rsidP="009B5ED1">
            <w:pPr>
              <w:jc w:val="center"/>
              <w:rPr>
                <w:color w:val="000000"/>
                <w:sz w:val="22"/>
                <w:szCs w:val="22"/>
              </w:rPr>
            </w:pPr>
            <w:r w:rsidRPr="00AA2347">
              <w:rPr>
                <w:color w:val="000000"/>
                <w:sz w:val="22"/>
                <w:szCs w:val="22"/>
              </w:rPr>
              <w:t>III</w:t>
            </w:r>
          </w:p>
        </w:tc>
        <w:tc>
          <w:tcPr>
            <w:tcW w:w="22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0C53C2" w:rsidRPr="00AA2347" w:rsidRDefault="000C53C2" w:rsidP="009B5ED1">
            <w:pPr>
              <w:jc w:val="center"/>
              <w:rPr>
                <w:color w:val="000000"/>
                <w:sz w:val="22"/>
                <w:szCs w:val="22"/>
              </w:rPr>
            </w:pPr>
            <w:r w:rsidRPr="00AA2347">
              <w:rPr>
                <w:color w:val="000000"/>
                <w:sz w:val="22"/>
                <w:szCs w:val="22"/>
              </w:rPr>
              <w:t>III</w:t>
            </w:r>
          </w:p>
        </w:tc>
        <w:tc>
          <w:tcPr>
            <w:tcW w:w="22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0C53C2" w:rsidRPr="00AA2347" w:rsidRDefault="000C53C2" w:rsidP="009B5ED1">
            <w:pPr>
              <w:jc w:val="center"/>
              <w:rPr>
                <w:color w:val="000000"/>
                <w:sz w:val="22"/>
                <w:szCs w:val="22"/>
              </w:rPr>
            </w:pPr>
            <w:r w:rsidRPr="00AA2347">
              <w:rPr>
                <w:color w:val="000000"/>
                <w:sz w:val="22"/>
                <w:szCs w:val="22"/>
              </w:rPr>
              <w:t>III</w:t>
            </w:r>
          </w:p>
        </w:tc>
        <w:tc>
          <w:tcPr>
            <w:tcW w:w="22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0C53C2" w:rsidRPr="00AA2347" w:rsidRDefault="000C53C2" w:rsidP="009B5ED1">
            <w:pPr>
              <w:jc w:val="center"/>
              <w:rPr>
                <w:color w:val="000000"/>
                <w:sz w:val="22"/>
                <w:szCs w:val="22"/>
              </w:rPr>
            </w:pPr>
            <w:r w:rsidRPr="00AA2347">
              <w:rPr>
                <w:color w:val="000000"/>
                <w:sz w:val="22"/>
                <w:szCs w:val="22"/>
              </w:rPr>
              <w:t>III</w:t>
            </w:r>
          </w:p>
        </w:tc>
        <w:tc>
          <w:tcPr>
            <w:tcW w:w="22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0C53C2" w:rsidRPr="00AA2347" w:rsidRDefault="000C53C2" w:rsidP="009B5ED1">
            <w:pPr>
              <w:jc w:val="center"/>
              <w:rPr>
                <w:color w:val="000000"/>
                <w:sz w:val="22"/>
                <w:szCs w:val="22"/>
              </w:rPr>
            </w:pPr>
            <w:r w:rsidRPr="00AA2347">
              <w:rPr>
                <w:color w:val="000000"/>
                <w:sz w:val="22"/>
                <w:szCs w:val="22"/>
              </w:rPr>
              <w:t>III</w:t>
            </w:r>
          </w:p>
        </w:tc>
        <w:tc>
          <w:tcPr>
            <w:tcW w:w="22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0C53C2" w:rsidRPr="00AA2347" w:rsidRDefault="000C53C2" w:rsidP="009B5ED1">
            <w:pPr>
              <w:jc w:val="center"/>
              <w:rPr>
                <w:color w:val="000000"/>
                <w:sz w:val="22"/>
                <w:szCs w:val="22"/>
              </w:rPr>
            </w:pPr>
            <w:r w:rsidRPr="00AA2347">
              <w:rPr>
                <w:color w:val="000000"/>
                <w:sz w:val="22"/>
                <w:szCs w:val="22"/>
              </w:rPr>
              <w:t>III</w:t>
            </w:r>
          </w:p>
        </w:tc>
        <w:tc>
          <w:tcPr>
            <w:tcW w:w="220"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0C53C2" w:rsidRPr="00AA2347" w:rsidRDefault="000C53C2" w:rsidP="009B5ED1">
            <w:pPr>
              <w:jc w:val="center"/>
              <w:rPr>
                <w:sz w:val="22"/>
                <w:szCs w:val="22"/>
              </w:rPr>
            </w:pPr>
            <w:r w:rsidRPr="00AA2347">
              <w:rPr>
                <w:color w:val="000000"/>
                <w:sz w:val="22"/>
                <w:szCs w:val="22"/>
              </w:rPr>
              <w:t>II</w:t>
            </w:r>
          </w:p>
        </w:tc>
        <w:tc>
          <w:tcPr>
            <w:tcW w:w="220"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0C53C2" w:rsidRPr="00AA2347" w:rsidRDefault="000C53C2" w:rsidP="009B5ED1">
            <w:pPr>
              <w:jc w:val="center"/>
              <w:rPr>
                <w:sz w:val="22"/>
                <w:szCs w:val="22"/>
              </w:rPr>
            </w:pPr>
            <w:r w:rsidRPr="00AA2347">
              <w:rPr>
                <w:color w:val="000000"/>
                <w:sz w:val="22"/>
                <w:szCs w:val="22"/>
              </w:rPr>
              <w:t>II</w:t>
            </w:r>
          </w:p>
        </w:tc>
        <w:tc>
          <w:tcPr>
            <w:tcW w:w="220"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0C53C2" w:rsidRPr="00AA2347" w:rsidRDefault="000C53C2" w:rsidP="009B5ED1">
            <w:pPr>
              <w:jc w:val="center"/>
              <w:rPr>
                <w:sz w:val="22"/>
                <w:szCs w:val="22"/>
              </w:rPr>
            </w:pPr>
            <w:r w:rsidRPr="00AA2347">
              <w:rPr>
                <w:color w:val="000000"/>
                <w:sz w:val="22"/>
                <w:szCs w:val="22"/>
              </w:rPr>
              <w:t>II</w:t>
            </w:r>
          </w:p>
        </w:tc>
        <w:tc>
          <w:tcPr>
            <w:tcW w:w="220"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0C53C2" w:rsidRPr="00AA2347" w:rsidRDefault="000C53C2" w:rsidP="009B5ED1">
            <w:pPr>
              <w:jc w:val="center"/>
              <w:rPr>
                <w:sz w:val="22"/>
                <w:szCs w:val="22"/>
              </w:rPr>
            </w:pPr>
            <w:r w:rsidRPr="00AA2347">
              <w:rPr>
                <w:color w:val="000000"/>
                <w:sz w:val="22"/>
                <w:szCs w:val="22"/>
              </w:rPr>
              <w:t>II</w:t>
            </w:r>
          </w:p>
        </w:tc>
        <w:tc>
          <w:tcPr>
            <w:tcW w:w="220"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0C53C2" w:rsidRPr="00AA2347" w:rsidRDefault="000C53C2" w:rsidP="009B5ED1">
            <w:pPr>
              <w:jc w:val="center"/>
              <w:rPr>
                <w:sz w:val="22"/>
                <w:szCs w:val="22"/>
              </w:rPr>
            </w:pPr>
            <w:r w:rsidRPr="00AA2347">
              <w:rPr>
                <w:color w:val="000000"/>
                <w:sz w:val="22"/>
                <w:szCs w:val="22"/>
              </w:rPr>
              <w:t>II</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53C2" w:rsidRPr="00AA2347" w:rsidRDefault="000C53C2" w:rsidP="009B5ED1">
            <w:pPr>
              <w:jc w:val="center"/>
              <w:rPr>
                <w:color w:val="000000"/>
                <w:sz w:val="22"/>
                <w:szCs w:val="22"/>
                <w:lang w:val="fr-CA"/>
              </w:rPr>
            </w:pPr>
            <w:r w:rsidRPr="00AA2347">
              <w:rPr>
                <w:color w:val="000000"/>
                <w:sz w:val="22"/>
                <w:szCs w:val="22"/>
                <w:lang w:val="fr-CA"/>
              </w:rPr>
              <w:t>I</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53C2" w:rsidRPr="00AA2347" w:rsidRDefault="000C53C2" w:rsidP="009B5ED1">
            <w:pPr>
              <w:jc w:val="center"/>
              <w:rPr>
                <w:color w:val="000000"/>
                <w:sz w:val="22"/>
                <w:szCs w:val="22"/>
              </w:rPr>
            </w:pPr>
            <w:r w:rsidRPr="00AA2347">
              <w:rPr>
                <w:color w:val="000000"/>
                <w:sz w:val="22"/>
                <w:szCs w:val="22"/>
                <w:lang w:val="fr-CA"/>
              </w:rPr>
              <w:t>I</w:t>
            </w:r>
          </w:p>
        </w:tc>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53C2" w:rsidRPr="00AA2347" w:rsidRDefault="000C53C2" w:rsidP="009B5ED1">
            <w:pPr>
              <w:jc w:val="center"/>
              <w:rPr>
                <w:color w:val="000000"/>
                <w:sz w:val="22"/>
                <w:szCs w:val="22"/>
                <w:lang w:val="fr-CA"/>
              </w:rPr>
            </w:pPr>
            <w:r w:rsidRPr="00AA2347">
              <w:rPr>
                <w:color w:val="000000"/>
                <w:sz w:val="22"/>
                <w:szCs w:val="22"/>
                <w:lang w:val="fr-CA"/>
              </w:rPr>
              <w:t>I</w:t>
            </w:r>
          </w:p>
        </w:tc>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53C2" w:rsidRPr="00AA2347" w:rsidRDefault="000C53C2" w:rsidP="009B5ED1">
            <w:pPr>
              <w:jc w:val="center"/>
              <w:rPr>
                <w:color w:val="000000"/>
                <w:sz w:val="22"/>
                <w:szCs w:val="22"/>
              </w:rPr>
            </w:pPr>
            <w:r w:rsidRPr="00AA2347">
              <w:rPr>
                <w:color w:val="000000"/>
                <w:sz w:val="22"/>
                <w:szCs w:val="22"/>
                <w:lang w:val="fr-CA"/>
              </w:rPr>
              <w:t>I</w:t>
            </w:r>
          </w:p>
        </w:tc>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53C2" w:rsidRPr="00AA2347" w:rsidRDefault="000C53C2" w:rsidP="009B5ED1">
            <w:pPr>
              <w:jc w:val="center"/>
              <w:rPr>
                <w:color w:val="000000"/>
                <w:sz w:val="22"/>
                <w:szCs w:val="22"/>
                <w:lang w:val="fr-CA"/>
              </w:rPr>
            </w:pPr>
            <w:r w:rsidRPr="00AA2347">
              <w:rPr>
                <w:color w:val="000000"/>
                <w:sz w:val="22"/>
                <w:szCs w:val="22"/>
                <w:lang w:val="fr-CA"/>
              </w:rPr>
              <w:t>I</w:t>
            </w:r>
          </w:p>
        </w:tc>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53C2" w:rsidRPr="00AA2347" w:rsidRDefault="000C53C2" w:rsidP="009B5ED1">
            <w:pPr>
              <w:jc w:val="center"/>
              <w:rPr>
                <w:color w:val="000000"/>
                <w:sz w:val="22"/>
                <w:szCs w:val="22"/>
              </w:rPr>
            </w:pPr>
            <w:r w:rsidRPr="00AA2347">
              <w:rPr>
                <w:color w:val="000000"/>
                <w:sz w:val="22"/>
                <w:szCs w:val="22"/>
                <w:lang w:val="fr-CA"/>
              </w:rPr>
              <w:t>I</w:t>
            </w:r>
          </w:p>
        </w:tc>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53C2" w:rsidRPr="00AA2347" w:rsidRDefault="000C53C2" w:rsidP="009B5ED1">
            <w:pPr>
              <w:jc w:val="center"/>
              <w:rPr>
                <w:color w:val="000000"/>
                <w:sz w:val="22"/>
                <w:szCs w:val="22"/>
                <w:lang w:val="fr-CA"/>
              </w:rPr>
            </w:pPr>
            <w:r w:rsidRPr="00AA2347">
              <w:rPr>
                <w:color w:val="000000"/>
                <w:sz w:val="22"/>
                <w:szCs w:val="22"/>
                <w:lang w:val="fr-CA"/>
              </w:rPr>
              <w:t>I</w:t>
            </w:r>
          </w:p>
        </w:tc>
        <w:tc>
          <w:tcPr>
            <w:tcW w:w="1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53C2" w:rsidRPr="00AA2347" w:rsidRDefault="000C53C2" w:rsidP="009B5ED1">
            <w:pPr>
              <w:jc w:val="center"/>
              <w:rPr>
                <w:color w:val="000000"/>
                <w:sz w:val="22"/>
                <w:szCs w:val="22"/>
              </w:rPr>
            </w:pPr>
            <w:r w:rsidRPr="00AA2347">
              <w:rPr>
                <w:color w:val="000000"/>
                <w:sz w:val="22"/>
                <w:szCs w:val="22"/>
                <w:lang w:val="fr-CA"/>
              </w:rPr>
              <w:t>I</w:t>
            </w:r>
          </w:p>
        </w:tc>
        <w:tc>
          <w:tcPr>
            <w:tcW w:w="1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53C2" w:rsidRPr="00AA2347" w:rsidRDefault="000C53C2" w:rsidP="009B5ED1">
            <w:pPr>
              <w:jc w:val="center"/>
              <w:rPr>
                <w:color w:val="000000"/>
                <w:sz w:val="22"/>
                <w:szCs w:val="22"/>
                <w:lang w:val="fr-CA"/>
              </w:rPr>
            </w:pPr>
            <w:r w:rsidRPr="00AA2347">
              <w:rPr>
                <w:color w:val="000000"/>
                <w:sz w:val="22"/>
                <w:szCs w:val="22"/>
                <w:lang w:val="fr-CA"/>
              </w:rPr>
              <w:t>I</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53C2" w:rsidRPr="00AA2347" w:rsidRDefault="000C53C2" w:rsidP="009B5ED1">
            <w:pPr>
              <w:jc w:val="center"/>
              <w:rPr>
                <w:color w:val="000000"/>
                <w:sz w:val="22"/>
                <w:szCs w:val="22"/>
              </w:rPr>
            </w:pPr>
            <w:r w:rsidRPr="00AA2347">
              <w:rPr>
                <w:color w:val="000000"/>
                <w:sz w:val="22"/>
                <w:szCs w:val="22"/>
                <w:lang w:val="fr-CA"/>
              </w:rPr>
              <w:t>I</w:t>
            </w:r>
          </w:p>
        </w:tc>
        <w:tc>
          <w:tcPr>
            <w:tcW w:w="185" w:type="pct"/>
            <w:tcBorders>
              <w:top w:val="single" w:sz="4" w:space="0" w:color="auto"/>
              <w:left w:val="single" w:sz="4" w:space="0" w:color="auto"/>
              <w:bottom w:val="single" w:sz="4" w:space="0" w:color="auto"/>
              <w:right w:val="single" w:sz="4" w:space="0" w:color="auto"/>
            </w:tcBorders>
            <w:vAlign w:val="center"/>
          </w:tcPr>
          <w:p w:rsidR="000C53C2" w:rsidRPr="00AA2347" w:rsidRDefault="000C53C2" w:rsidP="009B5ED1">
            <w:pPr>
              <w:jc w:val="center"/>
            </w:pPr>
            <w:r w:rsidRPr="00AA2347">
              <w:rPr>
                <w:color w:val="000000"/>
                <w:sz w:val="22"/>
                <w:szCs w:val="22"/>
                <w:lang w:val="fr-CA"/>
              </w:rPr>
              <w:t>I</w:t>
            </w:r>
          </w:p>
        </w:tc>
      </w:tr>
      <w:tr w:rsidR="000C53C2" w:rsidRPr="00AA2347" w:rsidTr="009B5ED1">
        <w:trPr>
          <w:cantSplit/>
          <w:trHeight w:val="360"/>
          <w:tblHeader/>
        </w:trPr>
        <w:tc>
          <w:tcPr>
            <w:tcW w:w="189" w:type="pct"/>
            <w:vMerge/>
            <w:tcBorders>
              <w:left w:val="nil"/>
              <w:bottom w:val="single" w:sz="4" w:space="0" w:color="auto"/>
              <w:right w:val="single" w:sz="4" w:space="0" w:color="auto"/>
            </w:tcBorders>
            <w:shd w:val="clear" w:color="auto" w:fill="D9D9D9" w:themeFill="background1" w:themeFillShade="D9"/>
          </w:tcPr>
          <w:p w:rsidR="000C53C2" w:rsidRPr="00AA2347" w:rsidRDefault="000C53C2" w:rsidP="009B5ED1">
            <w:pPr>
              <w:jc w:val="center"/>
              <w:rPr>
                <w:sz w:val="22"/>
                <w:szCs w:val="22"/>
              </w:rPr>
            </w:pPr>
          </w:p>
        </w:tc>
        <w:tc>
          <w:tcPr>
            <w:tcW w:w="167" w:type="pct"/>
            <w:tcBorders>
              <w:right w:val="single" w:sz="4" w:space="0" w:color="auto"/>
            </w:tcBorders>
            <w:shd w:val="clear" w:color="auto" w:fill="auto"/>
            <w:noWrap/>
            <w:vAlign w:val="center"/>
            <w:hideMark/>
          </w:tcPr>
          <w:p w:rsidR="000C53C2" w:rsidRPr="00AA2347" w:rsidRDefault="000C53C2" w:rsidP="009B5ED1">
            <w:pPr>
              <w:jc w:val="center"/>
              <w:rPr>
                <w:sz w:val="22"/>
                <w:szCs w:val="22"/>
              </w:rPr>
            </w:pPr>
            <w:r w:rsidRPr="00AA2347">
              <w:rPr>
                <w:sz w:val="22"/>
                <w:szCs w:val="22"/>
              </w:rPr>
              <w:t>3</w:t>
            </w:r>
          </w:p>
        </w:tc>
        <w:tc>
          <w:tcPr>
            <w:tcW w:w="22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0C53C2" w:rsidRPr="00AA2347" w:rsidRDefault="000C53C2" w:rsidP="009B5ED1">
            <w:pPr>
              <w:jc w:val="center"/>
              <w:rPr>
                <w:color w:val="000000"/>
                <w:sz w:val="22"/>
                <w:szCs w:val="22"/>
              </w:rPr>
            </w:pPr>
            <w:r w:rsidRPr="00AA2347">
              <w:rPr>
                <w:color w:val="000000"/>
                <w:sz w:val="22"/>
                <w:szCs w:val="22"/>
              </w:rPr>
              <w:t>III</w:t>
            </w:r>
          </w:p>
        </w:tc>
        <w:tc>
          <w:tcPr>
            <w:tcW w:w="22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0C53C2" w:rsidRPr="00AA2347" w:rsidRDefault="000C53C2" w:rsidP="009B5ED1">
            <w:pPr>
              <w:jc w:val="center"/>
              <w:rPr>
                <w:color w:val="000000"/>
                <w:sz w:val="22"/>
                <w:szCs w:val="22"/>
              </w:rPr>
            </w:pPr>
            <w:r w:rsidRPr="00AA2347">
              <w:rPr>
                <w:color w:val="000000"/>
                <w:sz w:val="22"/>
                <w:szCs w:val="22"/>
              </w:rPr>
              <w:t>III</w:t>
            </w:r>
          </w:p>
        </w:tc>
        <w:tc>
          <w:tcPr>
            <w:tcW w:w="22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0C53C2" w:rsidRPr="00AA2347" w:rsidRDefault="000C53C2" w:rsidP="009B5ED1">
            <w:pPr>
              <w:jc w:val="center"/>
              <w:rPr>
                <w:color w:val="000000"/>
                <w:sz w:val="22"/>
                <w:szCs w:val="22"/>
              </w:rPr>
            </w:pPr>
            <w:r w:rsidRPr="00AA2347">
              <w:rPr>
                <w:color w:val="000000"/>
                <w:sz w:val="22"/>
                <w:szCs w:val="22"/>
              </w:rPr>
              <w:t>III</w:t>
            </w:r>
          </w:p>
        </w:tc>
        <w:tc>
          <w:tcPr>
            <w:tcW w:w="22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0C53C2" w:rsidRPr="00AA2347" w:rsidRDefault="000C53C2" w:rsidP="009B5ED1">
            <w:pPr>
              <w:jc w:val="center"/>
              <w:rPr>
                <w:color w:val="000000"/>
                <w:sz w:val="22"/>
                <w:szCs w:val="22"/>
              </w:rPr>
            </w:pPr>
            <w:r w:rsidRPr="00AA2347">
              <w:rPr>
                <w:color w:val="000000"/>
                <w:sz w:val="22"/>
                <w:szCs w:val="22"/>
              </w:rPr>
              <w:t>III</w:t>
            </w:r>
          </w:p>
        </w:tc>
        <w:tc>
          <w:tcPr>
            <w:tcW w:w="22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0C53C2" w:rsidRPr="00AA2347" w:rsidRDefault="000C53C2" w:rsidP="009B5ED1">
            <w:pPr>
              <w:jc w:val="center"/>
              <w:rPr>
                <w:color w:val="000000"/>
                <w:sz w:val="22"/>
                <w:szCs w:val="22"/>
              </w:rPr>
            </w:pPr>
            <w:r w:rsidRPr="00AA2347">
              <w:rPr>
                <w:color w:val="000000"/>
                <w:sz w:val="22"/>
                <w:szCs w:val="22"/>
              </w:rPr>
              <w:t>III</w:t>
            </w:r>
          </w:p>
        </w:tc>
        <w:tc>
          <w:tcPr>
            <w:tcW w:w="22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0C53C2" w:rsidRPr="00AA2347" w:rsidRDefault="000C53C2" w:rsidP="009B5ED1">
            <w:pPr>
              <w:jc w:val="center"/>
              <w:rPr>
                <w:color w:val="000000"/>
                <w:sz w:val="22"/>
                <w:szCs w:val="22"/>
              </w:rPr>
            </w:pPr>
            <w:r w:rsidRPr="00AA2347">
              <w:rPr>
                <w:color w:val="000000"/>
                <w:sz w:val="22"/>
                <w:szCs w:val="22"/>
              </w:rPr>
              <w:t>III</w:t>
            </w:r>
          </w:p>
        </w:tc>
        <w:tc>
          <w:tcPr>
            <w:tcW w:w="22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0C53C2" w:rsidRPr="00AA2347" w:rsidRDefault="000C53C2" w:rsidP="009B5ED1">
            <w:pPr>
              <w:jc w:val="center"/>
              <w:rPr>
                <w:color w:val="000000"/>
                <w:sz w:val="22"/>
                <w:szCs w:val="22"/>
              </w:rPr>
            </w:pPr>
            <w:r w:rsidRPr="00AA2347">
              <w:rPr>
                <w:color w:val="000000"/>
                <w:sz w:val="22"/>
                <w:szCs w:val="22"/>
              </w:rPr>
              <w:t>III</w:t>
            </w:r>
          </w:p>
        </w:tc>
        <w:tc>
          <w:tcPr>
            <w:tcW w:w="22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0C53C2" w:rsidRPr="00AA2347" w:rsidRDefault="000C53C2" w:rsidP="009B5ED1">
            <w:pPr>
              <w:jc w:val="center"/>
              <w:rPr>
                <w:color w:val="000000"/>
                <w:sz w:val="22"/>
                <w:szCs w:val="22"/>
              </w:rPr>
            </w:pPr>
            <w:r w:rsidRPr="00AA2347">
              <w:rPr>
                <w:color w:val="000000"/>
                <w:sz w:val="22"/>
                <w:szCs w:val="22"/>
              </w:rPr>
              <w:t>III</w:t>
            </w:r>
          </w:p>
        </w:tc>
        <w:tc>
          <w:tcPr>
            <w:tcW w:w="220"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0C53C2" w:rsidRPr="00AA2347" w:rsidRDefault="000C53C2" w:rsidP="009B5ED1">
            <w:pPr>
              <w:jc w:val="center"/>
              <w:rPr>
                <w:sz w:val="22"/>
                <w:szCs w:val="22"/>
              </w:rPr>
            </w:pPr>
            <w:r w:rsidRPr="00AA2347">
              <w:rPr>
                <w:color w:val="000000"/>
                <w:sz w:val="22"/>
                <w:szCs w:val="22"/>
              </w:rPr>
              <w:t>II</w:t>
            </w:r>
          </w:p>
        </w:tc>
        <w:tc>
          <w:tcPr>
            <w:tcW w:w="220"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0C53C2" w:rsidRPr="00AA2347" w:rsidRDefault="000C53C2" w:rsidP="009B5ED1">
            <w:pPr>
              <w:jc w:val="center"/>
              <w:rPr>
                <w:sz w:val="22"/>
                <w:szCs w:val="22"/>
              </w:rPr>
            </w:pPr>
            <w:r w:rsidRPr="00AA2347">
              <w:rPr>
                <w:color w:val="000000"/>
                <w:sz w:val="22"/>
                <w:szCs w:val="22"/>
              </w:rPr>
              <w:t>II</w:t>
            </w:r>
          </w:p>
        </w:tc>
        <w:tc>
          <w:tcPr>
            <w:tcW w:w="220"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0C53C2" w:rsidRPr="00AA2347" w:rsidRDefault="000C53C2" w:rsidP="009B5ED1">
            <w:pPr>
              <w:jc w:val="center"/>
              <w:rPr>
                <w:sz w:val="22"/>
                <w:szCs w:val="22"/>
              </w:rPr>
            </w:pPr>
            <w:r w:rsidRPr="00AA2347">
              <w:rPr>
                <w:color w:val="000000"/>
                <w:sz w:val="22"/>
                <w:szCs w:val="22"/>
              </w:rPr>
              <w:t>II</w:t>
            </w:r>
          </w:p>
        </w:tc>
        <w:tc>
          <w:tcPr>
            <w:tcW w:w="220"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0C53C2" w:rsidRPr="00AA2347" w:rsidRDefault="000C53C2" w:rsidP="009B5ED1">
            <w:pPr>
              <w:jc w:val="center"/>
              <w:rPr>
                <w:sz w:val="22"/>
                <w:szCs w:val="22"/>
              </w:rPr>
            </w:pPr>
            <w:r w:rsidRPr="00AA2347">
              <w:rPr>
                <w:color w:val="000000"/>
                <w:sz w:val="22"/>
                <w:szCs w:val="22"/>
              </w:rPr>
              <w:t>II</w:t>
            </w:r>
          </w:p>
        </w:tc>
        <w:tc>
          <w:tcPr>
            <w:tcW w:w="220"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0C53C2" w:rsidRPr="00AA2347" w:rsidRDefault="000C53C2" w:rsidP="009B5ED1">
            <w:pPr>
              <w:jc w:val="center"/>
              <w:rPr>
                <w:sz w:val="22"/>
                <w:szCs w:val="22"/>
              </w:rPr>
            </w:pPr>
            <w:r w:rsidRPr="00AA2347">
              <w:rPr>
                <w:color w:val="000000"/>
                <w:sz w:val="22"/>
                <w:szCs w:val="22"/>
              </w:rPr>
              <w:t>II</w:t>
            </w:r>
          </w:p>
        </w:tc>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53C2" w:rsidRPr="00AA2347" w:rsidRDefault="000C53C2" w:rsidP="009B5ED1">
            <w:pPr>
              <w:jc w:val="center"/>
              <w:rPr>
                <w:color w:val="000000"/>
                <w:sz w:val="22"/>
                <w:szCs w:val="22"/>
                <w:lang w:val="fr-CA"/>
              </w:rPr>
            </w:pPr>
            <w:r w:rsidRPr="00AA2347">
              <w:rPr>
                <w:color w:val="000000"/>
                <w:sz w:val="22"/>
                <w:szCs w:val="22"/>
                <w:lang w:val="fr-CA"/>
              </w:rPr>
              <w:t>I</w:t>
            </w:r>
          </w:p>
        </w:tc>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53C2" w:rsidRPr="00AA2347" w:rsidRDefault="000C53C2" w:rsidP="009B5ED1">
            <w:pPr>
              <w:jc w:val="center"/>
              <w:rPr>
                <w:color w:val="000000"/>
                <w:sz w:val="22"/>
                <w:szCs w:val="22"/>
              </w:rPr>
            </w:pPr>
            <w:r w:rsidRPr="00AA2347">
              <w:rPr>
                <w:color w:val="000000"/>
                <w:sz w:val="22"/>
                <w:szCs w:val="22"/>
                <w:lang w:val="fr-CA"/>
              </w:rPr>
              <w:t>I</w:t>
            </w:r>
          </w:p>
        </w:tc>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53C2" w:rsidRPr="00AA2347" w:rsidRDefault="000C53C2" w:rsidP="009B5ED1">
            <w:pPr>
              <w:jc w:val="center"/>
              <w:rPr>
                <w:color w:val="000000"/>
                <w:sz w:val="22"/>
                <w:szCs w:val="22"/>
                <w:lang w:val="fr-CA"/>
              </w:rPr>
            </w:pPr>
            <w:r w:rsidRPr="00AA2347">
              <w:rPr>
                <w:color w:val="000000"/>
                <w:sz w:val="22"/>
                <w:szCs w:val="22"/>
                <w:lang w:val="fr-CA"/>
              </w:rPr>
              <w:t>I</w:t>
            </w:r>
          </w:p>
        </w:tc>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53C2" w:rsidRPr="00AA2347" w:rsidRDefault="000C53C2" w:rsidP="009B5ED1">
            <w:pPr>
              <w:jc w:val="center"/>
              <w:rPr>
                <w:color w:val="000000"/>
                <w:sz w:val="22"/>
                <w:szCs w:val="22"/>
              </w:rPr>
            </w:pPr>
            <w:r w:rsidRPr="00AA2347">
              <w:rPr>
                <w:color w:val="000000"/>
                <w:sz w:val="22"/>
                <w:szCs w:val="22"/>
                <w:lang w:val="fr-CA"/>
              </w:rPr>
              <w:t>I</w:t>
            </w:r>
          </w:p>
        </w:tc>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53C2" w:rsidRPr="00AA2347" w:rsidRDefault="000C53C2" w:rsidP="009B5ED1">
            <w:pPr>
              <w:jc w:val="center"/>
              <w:rPr>
                <w:color w:val="000000"/>
                <w:sz w:val="22"/>
                <w:szCs w:val="22"/>
                <w:lang w:val="fr-CA"/>
              </w:rPr>
            </w:pPr>
            <w:r w:rsidRPr="00AA2347">
              <w:rPr>
                <w:color w:val="000000"/>
                <w:sz w:val="22"/>
                <w:szCs w:val="22"/>
                <w:lang w:val="fr-CA"/>
              </w:rPr>
              <w:t>I</w:t>
            </w:r>
          </w:p>
        </w:tc>
        <w:tc>
          <w:tcPr>
            <w:tcW w:w="1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53C2" w:rsidRPr="00AA2347" w:rsidRDefault="000C53C2" w:rsidP="009B5ED1">
            <w:pPr>
              <w:jc w:val="center"/>
              <w:rPr>
                <w:color w:val="000000"/>
                <w:sz w:val="22"/>
                <w:szCs w:val="22"/>
              </w:rPr>
            </w:pPr>
            <w:r w:rsidRPr="00AA2347">
              <w:rPr>
                <w:color w:val="000000"/>
                <w:sz w:val="22"/>
                <w:szCs w:val="22"/>
                <w:lang w:val="fr-CA"/>
              </w:rPr>
              <w:t>I</w:t>
            </w:r>
          </w:p>
        </w:tc>
        <w:tc>
          <w:tcPr>
            <w:tcW w:w="1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53C2" w:rsidRPr="00AA2347" w:rsidRDefault="000C53C2" w:rsidP="009B5ED1">
            <w:pPr>
              <w:jc w:val="center"/>
              <w:rPr>
                <w:color w:val="000000"/>
                <w:sz w:val="22"/>
                <w:szCs w:val="22"/>
                <w:lang w:val="fr-CA"/>
              </w:rPr>
            </w:pPr>
            <w:r w:rsidRPr="00AA2347">
              <w:rPr>
                <w:color w:val="000000"/>
                <w:sz w:val="22"/>
                <w:szCs w:val="22"/>
                <w:lang w:val="fr-CA"/>
              </w:rPr>
              <w:t>I</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53C2" w:rsidRPr="00AA2347" w:rsidRDefault="000C53C2" w:rsidP="009B5ED1">
            <w:pPr>
              <w:jc w:val="center"/>
              <w:rPr>
                <w:color w:val="000000"/>
                <w:sz w:val="22"/>
                <w:szCs w:val="22"/>
              </w:rPr>
            </w:pPr>
            <w:r w:rsidRPr="00AA2347">
              <w:rPr>
                <w:color w:val="000000"/>
                <w:sz w:val="22"/>
                <w:szCs w:val="22"/>
                <w:lang w:val="fr-CA"/>
              </w:rPr>
              <w:t>I</w:t>
            </w:r>
          </w:p>
        </w:tc>
        <w:tc>
          <w:tcPr>
            <w:tcW w:w="185" w:type="pct"/>
            <w:tcBorders>
              <w:top w:val="single" w:sz="4" w:space="0" w:color="auto"/>
              <w:left w:val="single" w:sz="4" w:space="0" w:color="auto"/>
              <w:bottom w:val="single" w:sz="4" w:space="0" w:color="auto"/>
              <w:right w:val="single" w:sz="4" w:space="0" w:color="auto"/>
            </w:tcBorders>
            <w:vAlign w:val="center"/>
          </w:tcPr>
          <w:p w:rsidR="000C53C2" w:rsidRPr="00AA2347" w:rsidRDefault="000C53C2" w:rsidP="009B5ED1">
            <w:pPr>
              <w:jc w:val="center"/>
            </w:pPr>
            <w:r w:rsidRPr="00AA2347">
              <w:rPr>
                <w:color w:val="000000"/>
                <w:sz w:val="22"/>
                <w:szCs w:val="22"/>
                <w:lang w:val="fr-CA"/>
              </w:rPr>
              <w:t>I</w:t>
            </w:r>
          </w:p>
        </w:tc>
      </w:tr>
      <w:tr w:rsidR="000C53C2" w:rsidRPr="00AA2347" w:rsidTr="009B5ED1">
        <w:trPr>
          <w:cantSplit/>
          <w:trHeight w:val="360"/>
          <w:tblHeader/>
        </w:trPr>
        <w:tc>
          <w:tcPr>
            <w:tcW w:w="189" w:type="pct"/>
            <w:vMerge/>
            <w:tcBorders>
              <w:left w:val="nil"/>
              <w:bottom w:val="single" w:sz="4" w:space="0" w:color="auto"/>
              <w:right w:val="single" w:sz="4" w:space="0" w:color="auto"/>
            </w:tcBorders>
            <w:shd w:val="clear" w:color="auto" w:fill="BFBFBF" w:themeFill="background1" w:themeFillShade="BF"/>
          </w:tcPr>
          <w:p w:rsidR="000C53C2" w:rsidRPr="00AA2347" w:rsidRDefault="000C53C2" w:rsidP="009B5ED1">
            <w:pPr>
              <w:jc w:val="center"/>
              <w:rPr>
                <w:sz w:val="22"/>
                <w:szCs w:val="22"/>
              </w:rPr>
            </w:pPr>
          </w:p>
        </w:tc>
        <w:tc>
          <w:tcPr>
            <w:tcW w:w="167" w:type="pct"/>
            <w:tcBorders>
              <w:right w:val="single" w:sz="4" w:space="0" w:color="auto"/>
            </w:tcBorders>
            <w:shd w:val="clear" w:color="auto" w:fill="auto"/>
            <w:noWrap/>
            <w:vAlign w:val="center"/>
            <w:hideMark/>
          </w:tcPr>
          <w:p w:rsidR="000C53C2" w:rsidRPr="00AA2347" w:rsidRDefault="000C53C2" w:rsidP="009B5ED1">
            <w:pPr>
              <w:jc w:val="center"/>
              <w:rPr>
                <w:sz w:val="22"/>
                <w:szCs w:val="22"/>
              </w:rPr>
            </w:pPr>
            <w:r w:rsidRPr="00AA2347">
              <w:rPr>
                <w:sz w:val="22"/>
                <w:szCs w:val="22"/>
              </w:rPr>
              <w:t>4</w:t>
            </w:r>
          </w:p>
        </w:tc>
        <w:tc>
          <w:tcPr>
            <w:tcW w:w="220"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0C53C2" w:rsidRPr="00AA2347" w:rsidRDefault="000C53C2" w:rsidP="009B5ED1">
            <w:pPr>
              <w:jc w:val="center"/>
              <w:rPr>
                <w:color w:val="000000"/>
                <w:sz w:val="22"/>
                <w:szCs w:val="22"/>
              </w:rPr>
            </w:pPr>
            <w:r w:rsidRPr="00AA2347">
              <w:rPr>
                <w:color w:val="000000"/>
                <w:sz w:val="22"/>
                <w:szCs w:val="22"/>
              </w:rPr>
              <w:t>IVa</w:t>
            </w:r>
          </w:p>
        </w:tc>
        <w:tc>
          <w:tcPr>
            <w:tcW w:w="220"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0C53C2" w:rsidRPr="00AA2347" w:rsidRDefault="000C53C2" w:rsidP="009B5ED1">
            <w:pPr>
              <w:jc w:val="center"/>
              <w:rPr>
                <w:sz w:val="22"/>
                <w:szCs w:val="22"/>
              </w:rPr>
            </w:pPr>
            <w:r w:rsidRPr="00AA2347">
              <w:rPr>
                <w:color w:val="000000"/>
                <w:sz w:val="22"/>
                <w:szCs w:val="22"/>
              </w:rPr>
              <w:t>IVa</w:t>
            </w:r>
          </w:p>
        </w:tc>
        <w:tc>
          <w:tcPr>
            <w:tcW w:w="220"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0C53C2" w:rsidRPr="00AA2347" w:rsidRDefault="000C53C2" w:rsidP="009B5ED1">
            <w:pPr>
              <w:jc w:val="center"/>
              <w:rPr>
                <w:sz w:val="22"/>
                <w:szCs w:val="22"/>
              </w:rPr>
            </w:pPr>
            <w:r w:rsidRPr="00AA2347">
              <w:rPr>
                <w:color w:val="000000"/>
                <w:sz w:val="22"/>
                <w:szCs w:val="22"/>
              </w:rPr>
              <w:t>IVa</w:t>
            </w:r>
          </w:p>
        </w:tc>
        <w:tc>
          <w:tcPr>
            <w:tcW w:w="22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0C53C2" w:rsidRPr="00AA2347" w:rsidRDefault="000C53C2" w:rsidP="009B5ED1">
            <w:pPr>
              <w:jc w:val="center"/>
              <w:rPr>
                <w:color w:val="000000"/>
                <w:sz w:val="22"/>
                <w:szCs w:val="22"/>
              </w:rPr>
            </w:pPr>
            <w:r w:rsidRPr="00AA2347">
              <w:rPr>
                <w:color w:val="000000"/>
                <w:sz w:val="22"/>
                <w:szCs w:val="22"/>
              </w:rPr>
              <w:t>III</w:t>
            </w:r>
          </w:p>
        </w:tc>
        <w:tc>
          <w:tcPr>
            <w:tcW w:w="22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0C53C2" w:rsidRPr="00AA2347" w:rsidRDefault="000C53C2" w:rsidP="009B5ED1">
            <w:pPr>
              <w:jc w:val="center"/>
              <w:rPr>
                <w:color w:val="000000"/>
                <w:sz w:val="22"/>
                <w:szCs w:val="22"/>
              </w:rPr>
            </w:pPr>
            <w:r w:rsidRPr="00AA2347">
              <w:rPr>
                <w:color w:val="000000"/>
                <w:sz w:val="22"/>
                <w:szCs w:val="22"/>
              </w:rPr>
              <w:t>III</w:t>
            </w:r>
          </w:p>
        </w:tc>
        <w:tc>
          <w:tcPr>
            <w:tcW w:w="22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0C53C2" w:rsidRPr="00AA2347" w:rsidRDefault="000C53C2" w:rsidP="009B5ED1">
            <w:pPr>
              <w:jc w:val="center"/>
              <w:rPr>
                <w:color w:val="000000"/>
                <w:sz w:val="22"/>
                <w:szCs w:val="22"/>
              </w:rPr>
            </w:pPr>
            <w:r w:rsidRPr="00AA2347">
              <w:rPr>
                <w:color w:val="000000"/>
                <w:sz w:val="22"/>
                <w:szCs w:val="22"/>
              </w:rPr>
              <w:t>III</w:t>
            </w:r>
          </w:p>
        </w:tc>
        <w:tc>
          <w:tcPr>
            <w:tcW w:w="22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0C53C2" w:rsidRPr="00AA2347" w:rsidRDefault="000C53C2" w:rsidP="009B5ED1">
            <w:pPr>
              <w:jc w:val="center"/>
              <w:rPr>
                <w:color w:val="000000"/>
                <w:sz w:val="22"/>
                <w:szCs w:val="22"/>
              </w:rPr>
            </w:pPr>
            <w:r w:rsidRPr="00AA2347">
              <w:rPr>
                <w:color w:val="000000"/>
                <w:sz w:val="22"/>
                <w:szCs w:val="22"/>
              </w:rPr>
              <w:t>III</w:t>
            </w:r>
          </w:p>
        </w:tc>
        <w:tc>
          <w:tcPr>
            <w:tcW w:w="22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0C53C2" w:rsidRPr="00AA2347" w:rsidRDefault="000C53C2" w:rsidP="009B5ED1">
            <w:pPr>
              <w:jc w:val="center"/>
              <w:rPr>
                <w:color w:val="000000"/>
                <w:sz w:val="22"/>
                <w:szCs w:val="22"/>
              </w:rPr>
            </w:pPr>
            <w:r w:rsidRPr="00AA2347">
              <w:rPr>
                <w:color w:val="000000"/>
                <w:sz w:val="22"/>
                <w:szCs w:val="22"/>
              </w:rPr>
              <w:t>III</w:t>
            </w:r>
          </w:p>
        </w:tc>
        <w:tc>
          <w:tcPr>
            <w:tcW w:w="22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0C53C2" w:rsidRPr="00AA2347" w:rsidRDefault="000C53C2" w:rsidP="009B5ED1">
            <w:pPr>
              <w:jc w:val="center"/>
              <w:rPr>
                <w:color w:val="000000"/>
                <w:sz w:val="22"/>
                <w:szCs w:val="22"/>
              </w:rPr>
            </w:pPr>
            <w:r w:rsidRPr="00AA2347">
              <w:rPr>
                <w:color w:val="000000"/>
                <w:sz w:val="22"/>
                <w:szCs w:val="22"/>
              </w:rPr>
              <w:t>III</w:t>
            </w:r>
          </w:p>
        </w:tc>
        <w:tc>
          <w:tcPr>
            <w:tcW w:w="22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0C53C2" w:rsidRPr="00AA2347" w:rsidRDefault="000C53C2" w:rsidP="009B5ED1">
            <w:pPr>
              <w:jc w:val="center"/>
              <w:rPr>
                <w:color w:val="000000"/>
                <w:sz w:val="22"/>
                <w:szCs w:val="22"/>
              </w:rPr>
            </w:pPr>
            <w:r w:rsidRPr="00AA2347">
              <w:rPr>
                <w:color w:val="000000"/>
                <w:sz w:val="22"/>
                <w:szCs w:val="22"/>
              </w:rPr>
              <w:t>III</w:t>
            </w:r>
          </w:p>
        </w:tc>
        <w:tc>
          <w:tcPr>
            <w:tcW w:w="22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0C53C2" w:rsidRPr="00AA2347" w:rsidRDefault="000C53C2" w:rsidP="009B5ED1">
            <w:pPr>
              <w:jc w:val="center"/>
              <w:rPr>
                <w:color w:val="000000"/>
                <w:sz w:val="22"/>
                <w:szCs w:val="22"/>
              </w:rPr>
            </w:pPr>
            <w:r w:rsidRPr="00AA2347">
              <w:rPr>
                <w:color w:val="000000"/>
                <w:sz w:val="22"/>
                <w:szCs w:val="22"/>
              </w:rPr>
              <w:t>III</w:t>
            </w:r>
          </w:p>
        </w:tc>
        <w:tc>
          <w:tcPr>
            <w:tcW w:w="220"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0C53C2" w:rsidRPr="00AA2347" w:rsidRDefault="000C53C2" w:rsidP="009B5ED1">
            <w:pPr>
              <w:jc w:val="center"/>
              <w:rPr>
                <w:sz w:val="22"/>
                <w:szCs w:val="22"/>
              </w:rPr>
            </w:pPr>
            <w:r w:rsidRPr="00AA2347">
              <w:rPr>
                <w:color w:val="000000"/>
                <w:sz w:val="22"/>
                <w:szCs w:val="22"/>
              </w:rPr>
              <w:t>II</w:t>
            </w:r>
          </w:p>
        </w:tc>
        <w:tc>
          <w:tcPr>
            <w:tcW w:w="220"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0C53C2" w:rsidRPr="00AA2347" w:rsidRDefault="000C53C2" w:rsidP="009B5ED1">
            <w:pPr>
              <w:jc w:val="center"/>
              <w:rPr>
                <w:sz w:val="22"/>
                <w:szCs w:val="22"/>
              </w:rPr>
            </w:pPr>
            <w:r w:rsidRPr="00AA2347">
              <w:rPr>
                <w:color w:val="000000"/>
                <w:sz w:val="22"/>
                <w:szCs w:val="22"/>
              </w:rPr>
              <w:t>II</w:t>
            </w:r>
          </w:p>
        </w:tc>
        <w:tc>
          <w:tcPr>
            <w:tcW w:w="21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0C53C2" w:rsidRPr="00AA2347" w:rsidRDefault="000C53C2" w:rsidP="009B5ED1">
            <w:pPr>
              <w:jc w:val="center"/>
              <w:rPr>
                <w:sz w:val="22"/>
                <w:szCs w:val="22"/>
              </w:rPr>
            </w:pPr>
            <w:r w:rsidRPr="00AA2347">
              <w:rPr>
                <w:color w:val="000000"/>
                <w:sz w:val="22"/>
                <w:szCs w:val="22"/>
              </w:rPr>
              <w:t>II</w:t>
            </w:r>
          </w:p>
        </w:tc>
        <w:tc>
          <w:tcPr>
            <w:tcW w:w="21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0C53C2" w:rsidRPr="00AA2347" w:rsidRDefault="000C53C2" w:rsidP="009B5ED1">
            <w:pPr>
              <w:jc w:val="center"/>
              <w:rPr>
                <w:sz w:val="22"/>
                <w:szCs w:val="22"/>
              </w:rPr>
            </w:pPr>
            <w:r w:rsidRPr="00AA2347">
              <w:rPr>
                <w:color w:val="000000"/>
                <w:sz w:val="22"/>
                <w:szCs w:val="22"/>
              </w:rPr>
              <w:t>II</w:t>
            </w:r>
          </w:p>
        </w:tc>
        <w:tc>
          <w:tcPr>
            <w:tcW w:w="21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0C53C2" w:rsidRPr="00AA2347" w:rsidRDefault="000C53C2" w:rsidP="009B5ED1">
            <w:pPr>
              <w:jc w:val="center"/>
              <w:rPr>
                <w:sz w:val="22"/>
                <w:szCs w:val="22"/>
              </w:rPr>
            </w:pPr>
            <w:r w:rsidRPr="00AA2347">
              <w:rPr>
                <w:color w:val="000000"/>
                <w:sz w:val="22"/>
                <w:szCs w:val="22"/>
              </w:rPr>
              <w:t>II</w:t>
            </w:r>
          </w:p>
        </w:tc>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53C2" w:rsidRPr="00AA2347" w:rsidRDefault="000C53C2" w:rsidP="009B5ED1">
            <w:pPr>
              <w:jc w:val="center"/>
              <w:rPr>
                <w:color w:val="000000"/>
                <w:sz w:val="22"/>
                <w:szCs w:val="22"/>
              </w:rPr>
            </w:pPr>
            <w:r w:rsidRPr="00AA2347">
              <w:rPr>
                <w:color w:val="000000"/>
                <w:sz w:val="22"/>
                <w:szCs w:val="22"/>
                <w:lang w:val="fr-CA"/>
              </w:rPr>
              <w:t>I</w:t>
            </w:r>
          </w:p>
        </w:tc>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53C2" w:rsidRPr="00AA2347" w:rsidRDefault="000C53C2" w:rsidP="009B5ED1">
            <w:pPr>
              <w:jc w:val="center"/>
              <w:rPr>
                <w:color w:val="000000"/>
                <w:sz w:val="22"/>
                <w:szCs w:val="22"/>
                <w:lang w:val="fr-CA"/>
              </w:rPr>
            </w:pPr>
            <w:r w:rsidRPr="00AA2347">
              <w:rPr>
                <w:color w:val="000000"/>
                <w:sz w:val="22"/>
                <w:szCs w:val="22"/>
                <w:lang w:val="fr-CA"/>
              </w:rPr>
              <w:t>I</w:t>
            </w:r>
          </w:p>
        </w:tc>
        <w:tc>
          <w:tcPr>
            <w:tcW w:w="1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53C2" w:rsidRPr="00AA2347" w:rsidRDefault="000C53C2" w:rsidP="009B5ED1">
            <w:pPr>
              <w:jc w:val="center"/>
              <w:rPr>
                <w:color w:val="000000"/>
                <w:sz w:val="22"/>
                <w:szCs w:val="22"/>
              </w:rPr>
            </w:pPr>
            <w:r w:rsidRPr="00AA2347">
              <w:rPr>
                <w:color w:val="000000"/>
                <w:sz w:val="22"/>
                <w:szCs w:val="22"/>
                <w:lang w:val="fr-CA"/>
              </w:rPr>
              <w:t>I</w:t>
            </w:r>
          </w:p>
        </w:tc>
        <w:tc>
          <w:tcPr>
            <w:tcW w:w="1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53C2" w:rsidRPr="00AA2347" w:rsidRDefault="000C53C2" w:rsidP="009B5ED1">
            <w:pPr>
              <w:jc w:val="center"/>
              <w:rPr>
                <w:color w:val="000000"/>
                <w:sz w:val="22"/>
                <w:szCs w:val="22"/>
                <w:lang w:val="fr-CA"/>
              </w:rPr>
            </w:pPr>
            <w:r w:rsidRPr="00AA2347">
              <w:rPr>
                <w:color w:val="000000"/>
                <w:sz w:val="22"/>
                <w:szCs w:val="22"/>
                <w:lang w:val="fr-CA"/>
              </w:rPr>
              <w:t>I</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53C2" w:rsidRPr="00AA2347" w:rsidRDefault="000C53C2" w:rsidP="009B5ED1">
            <w:pPr>
              <w:jc w:val="center"/>
              <w:rPr>
                <w:color w:val="000000"/>
                <w:sz w:val="22"/>
                <w:szCs w:val="22"/>
              </w:rPr>
            </w:pPr>
            <w:r w:rsidRPr="00AA2347">
              <w:rPr>
                <w:color w:val="000000"/>
                <w:sz w:val="22"/>
                <w:szCs w:val="22"/>
                <w:lang w:val="fr-CA"/>
              </w:rPr>
              <w:t>I</w:t>
            </w:r>
          </w:p>
        </w:tc>
        <w:tc>
          <w:tcPr>
            <w:tcW w:w="185" w:type="pct"/>
            <w:tcBorders>
              <w:top w:val="single" w:sz="4" w:space="0" w:color="auto"/>
              <w:left w:val="single" w:sz="4" w:space="0" w:color="auto"/>
              <w:bottom w:val="single" w:sz="4" w:space="0" w:color="auto"/>
              <w:right w:val="single" w:sz="4" w:space="0" w:color="auto"/>
            </w:tcBorders>
            <w:vAlign w:val="center"/>
          </w:tcPr>
          <w:p w:rsidR="000C53C2" w:rsidRPr="00AA2347" w:rsidRDefault="000C53C2" w:rsidP="009B5ED1">
            <w:pPr>
              <w:jc w:val="center"/>
            </w:pPr>
            <w:r w:rsidRPr="00AA2347">
              <w:rPr>
                <w:color w:val="000000"/>
                <w:sz w:val="22"/>
                <w:szCs w:val="22"/>
                <w:lang w:val="fr-CA"/>
              </w:rPr>
              <w:t>I</w:t>
            </w:r>
          </w:p>
        </w:tc>
      </w:tr>
      <w:tr w:rsidR="000C53C2" w:rsidRPr="00AA2347" w:rsidTr="009B5ED1">
        <w:trPr>
          <w:cantSplit/>
          <w:trHeight w:val="360"/>
          <w:tblHeader/>
        </w:trPr>
        <w:tc>
          <w:tcPr>
            <w:tcW w:w="189" w:type="pct"/>
            <w:vMerge/>
            <w:tcBorders>
              <w:left w:val="nil"/>
              <w:bottom w:val="single" w:sz="4" w:space="0" w:color="auto"/>
              <w:right w:val="single" w:sz="4" w:space="0" w:color="auto"/>
            </w:tcBorders>
            <w:shd w:val="clear" w:color="auto" w:fill="BFBFBF" w:themeFill="background1" w:themeFillShade="BF"/>
          </w:tcPr>
          <w:p w:rsidR="000C53C2" w:rsidRPr="00AA2347" w:rsidRDefault="000C53C2" w:rsidP="009B5ED1">
            <w:pPr>
              <w:jc w:val="center"/>
              <w:rPr>
                <w:sz w:val="22"/>
                <w:szCs w:val="22"/>
              </w:rPr>
            </w:pPr>
          </w:p>
        </w:tc>
        <w:tc>
          <w:tcPr>
            <w:tcW w:w="167" w:type="pct"/>
            <w:tcBorders>
              <w:right w:val="single" w:sz="4" w:space="0" w:color="auto"/>
            </w:tcBorders>
            <w:shd w:val="clear" w:color="auto" w:fill="auto"/>
            <w:noWrap/>
            <w:vAlign w:val="center"/>
            <w:hideMark/>
          </w:tcPr>
          <w:p w:rsidR="000C53C2" w:rsidRPr="00AA2347" w:rsidRDefault="000C53C2" w:rsidP="009B5ED1">
            <w:pPr>
              <w:jc w:val="center"/>
              <w:rPr>
                <w:sz w:val="22"/>
                <w:szCs w:val="22"/>
              </w:rPr>
            </w:pPr>
            <w:r w:rsidRPr="00AA2347">
              <w:rPr>
                <w:sz w:val="22"/>
                <w:szCs w:val="22"/>
              </w:rPr>
              <w:t>5</w:t>
            </w:r>
          </w:p>
        </w:tc>
        <w:tc>
          <w:tcPr>
            <w:tcW w:w="220"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0C53C2" w:rsidRPr="00AA2347" w:rsidRDefault="000C53C2" w:rsidP="009B5ED1">
            <w:pPr>
              <w:jc w:val="center"/>
              <w:rPr>
                <w:color w:val="000000"/>
                <w:sz w:val="22"/>
                <w:szCs w:val="22"/>
              </w:rPr>
            </w:pPr>
            <w:r w:rsidRPr="00AA2347">
              <w:rPr>
                <w:color w:val="000000"/>
                <w:sz w:val="22"/>
                <w:szCs w:val="22"/>
              </w:rPr>
              <w:t>IVa</w:t>
            </w:r>
          </w:p>
        </w:tc>
        <w:tc>
          <w:tcPr>
            <w:tcW w:w="220"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0C53C2" w:rsidRPr="00AA2347" w:rsidRDefault="000C53C2" w:rsidP="009B5ED1">
            <w:pPr>
              <w:jc w:val="center"/>
              <w:rPr>
                <w:sz w:val="22"/>
                <w:szCs w:val="22"/>
              </w:rPr>
            </w:pPr>
            <w:r w:rsidRPr="00AA2347">
              <w:rPr>
                <w:color w:val="000000"/>
                <w:sz w:val="22"/>
                <w:szCs w:val="22"/>
              </w:rPr>
              <w:t>IVa</w:t>
            </w:r>
          </w:p>
        </w:tc>
        <w:tc>
          <w:tcPr>
            <w:tcW w:w="220"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0C53C2" w:rsidRPr="00AA2347" w:rsidRDefault="000C53C2" w:rsidP="009B5ED1">
            <w:pPr>
              <w:jc w:val="center"/>
              <w:rPr>
                <w:sz w:val="22"/>
                <w:szCs w:val="22"/>
              </w:rPr>
            </w:pPr>
            <w:r w:rsidRPr="00AA2347">
              <w:rPr>
                <w:color w:val="000000"/>
                <w:sz w:val="22"/>
                <w:szCs w:val="22"/>
              </w:rPr>
              <w:t>IVa</w:t>
            </w:r>
          </w:p>
        </w:tc>
        <w:tc>
          <w:tcPr>
            <w:tcW w:w="220"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0C53C2" w:rsidRPr="00AA2347" w:rsidRDefault="000C53C2" w:rsidP="009B5ED1">
            <w:pPr>
              <w:jc w:val="center"/>
              <w:rPr>
                <w:sz w:val="22"/>
                <w:szCs w:val="22"/>
              </w:rPr>
            </w:pPr>
            <w:r w:rsidRPr="00AA2347">
              <w:rPr>
                <w:color w:val="000000"/>
                <w:sz w:val="22"/>
                <w:szCs w:val="22"/>
              </w:rPr>
              <w:t>IVa</w:t>
            </w:r>
          </w:p>
        </w:tc>
        <w:tc>
          <w:tcPr>
            <w:tcW w:w="220"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0C53C2" w:rsidRPr="00AA2347" w:rsidRDefault="000C53C2" w:rsidP="009B5ED1">
            <w:pPr>
              <w:jc w:val="center"/>
              <w:rPr>
                <w:sz w:val="22"/>
                <w:szCs w:val="22"/>
              </w:rPr>
            </w:pPr>
            <w:r w:rsidRPr="00AA2347">
              <w:rPr>
                <w:color w:val="000000"/>
                <w:sz w:val="22"/>
                <w:szCs w:val="22"/>
              </w:rPr>
              <w:t>IVa</w:t>
            </w:r>
          </w:p>
        </w:tc>
        <w:tc>
          <w:tcPr>
            <w:tcW w:w="220"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0C53C2" w:rsidRPr="00AA2347" w:rsidRDefault="000C53C2" w:rsidP="009B5ED1">
            <w:pPr>
              <w:jc w:val="center"/>
              <w:rPr>
                <w:sz w:val="22"/>
                <w:szCs w:val="22"/>
              </w:rPr>
            </w:pPr>
            <w:r w:rsidRPr="00AA2347">
              <w:rPr>
                <w:color w:val="000000"/>
                <w:sz w:val="22"/>
                <w:szCs w:val="22"/>
              </w:rPr>
              <w:t>IVa</w:t>
            </w:r>
          </w:p>
        </w:tc>
        <w:tc>
          <w:tcPr>
            <w:tcW w:w="22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0C53C2" w:rsidRPr="00AA2347" w:rsidRDefault="000C53C2" w:rsidP="009B5ED1">
            <w:pPr>
              <w:jc w:val="center"/>
              <w:rPr>
                <w:color w:val="000000"/>
                <w:sz w:val="22"/>
                <w:szCs w:val="22"/>
              </w:rPr>
            </w:pPr>
            <w:r w:rsidRPr="00AA2347">
              <w:rPr>
                <w:color w:val="000000"/>
                <w:sz w:val="22"/>
                <w:szCs w:val="22"/>
              </w:rPr>
              <w:t>III</w:t>
            </w:r>
          </w:p>
        </w:tc>
        <w:tc>
          <w:tcPr>
            <w:tcW w:w="22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0C53C2" w:rsidRPr="00AA2347" w:rsidRDefault="000C53C2" w:rsidP="009B5ED1">
            <w:pPr>
              <w:jc w:val="center"/>
              <w:rPr>
                <w:color w:val="000000"/>
                <w:sz w:val="22"/>
                <w:szCs w:val="22"/>
              </w:rPr>
            </w:pPr>
            <w:r w:rsidRPr="00AA2347">
              <w:rPr>
                <w:color w:val="000000"/>
                <w:sz w:val="22"/>
                <w:szCs w:val="22"/>
              </w:rPr>
              <w:t>III</w:t>
            </w:r>
          </w:p>
        </w:tc>
        <w:tc>
          <w:tcPr>
            <w:tcW w:w="22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0C53C2" w:rsidRPr="00AA2347" w:rsidRDefault="000C53C2" w:rsidP="009B5ED1">
            <w:pPr>
              <w:jc w:val="center"/>
              <w:rPr>
                <w:color w:val="000000"/>
                <w:sz w:val="22"/>
                <w:szCs w:val="22"/>
              </w:rPr>
            </w:pPr>
            <w:r w:rsidRPr="00AA2347">
              <w:rPr>
                <w:color w:val="000000"/>
                <w:sz w:val="22"/>
                <w:szCs w:val="22"/>
              </w:rPr>
              <w:t>III</w:t>
            </w:r>
          </w:p>
        </w:tc>
        <w:tc>
          <w:tcPr>
            <w:tcW w:w="22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0C53C2" w:rsidRPr="00AA2347" w:rsidRDefault="000C53C2" w:rsidP="009B5ED1">
            <w:pPr>
              <w:jc w:val="center"/>
              <w:rPr>
                <w:color w:val="000000"/>
                <w:sz w:val="22"/>
                <w:szCs w:val="22"/>
              </w:rPr>
            </w:pPr>
            <w:r w:rsidRPr="00AA2347">
              <w:rPr>
                <w:color w:val="000000"/>
                <w:sz w:val="22"/>
                <w:szCs w:val="22"/>
              </w:rPr>
              <w:t>III</w:t>
            </w:r>
          </w:p>
        </w:tc>
        <w:tc>
          <w:tcPr>
            <w:tcW w:w="22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0C53C2" w:rsidRPr="00AA2347" w:rsidRDefault="000C53C2" w:rsidP="009B5ED1">
            <w:pPr>
              <w:jc w:val="center"/>
              <w:rPr>
                <w:color w:val="000000"/>
                <w:sz w:val="22"/>
                <w:szCs w:val="22"/>
              </w:rPr>
            </w:pPr>
            <w:r w:rsidRPr="00AA2347">
              <w:rPr>
                <w:color w:val="000000"/>
                <w:sz w:val="22"/>
                <w:szCs w:val="22"/>
              </w:rPr>
              <w:t>III</w:t>
            </w:r>
          </w:p>
        </w:tc>
        <w:tc>
          <w:tcPr>
            <w:tcW w:w="22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0C53C2" w:rsidRPr="00AA2347" w:rsidRDefault="000C53C2" w:rsidP="009B5ED1">
            <w:pPr>
              <w:jc w:val="center"/>
              <w:rPr>
                <w:color w:val="000000"/>
                <w:sz w:val="22"/>
                <w:szCs w:val="22"/>
              </w:rPr>
            </w:pPr>
            <w:r w:rsidRPr="00AA2347">
              <w:rPr>
                <w:color w:val="000000"/>
                <w:sz w:val="22"/>
                <w:szCs w:val="22"/>
              </w:rPr>
              <w:t>III</w:t>
            </w:r>
          </w:p>
        </w:tc>
        <w:tc>
          <w:tcPr>
            <w:tcW w:w="22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0C53C2" w:rsidRPr="00AA2347" w:rsidRDefault="000C53C2" w:rsidP="009B5ED1">
            <w:pPr>
              <w:jc w:val="center"/>
              <w:rPr>
                <w:color w:val="000000"/>
                <w:sz w:val="22"/>
                <w:szCs w:val="22"/>
              </w:rPr>
            </w:pPr>
            <w:r w:rsidRPr="00AA2347">
              <w:rPr>
                <w:color w:val="000000"/>
                <w:sz w:val="22"/>
                <w:szCs w:val="22"/>
              </w:rPr>
              <w:t>III</w:t>
            </w:r>
          </w:p>
        </w:tc>
        <w:tc>
          <w:tcPr>
            <w:tcW w:w="21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0C53C2" w:rsidRPr="00AA2347" w:rsidRDefault="000C53C2" w:rsidP="009B5ED1">
            <w:pPr>
              <w:jc w:val="center"/>
              <w:rPr>
                <w:sz w:val="22"/>
                <w:szCs w:val="22"/>
              </w:rPr>
            </w:pPr>
            <w:r w:rsidRPr="00AA2347">
              <w:rPr>
                <w:color w:val="000000"/>
                <w:sz w:val="22"/>
                <w:szCs w:val="22"/>
              </w:rPr>
              <w:t>II</w:t>
            </w:r>
          </w:p>
        </w:tc>
        <w:tc>
          <w:tcPr>
            <w:tcW w:w="21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0C53C2" w:rsidRPr="00AA2347" w:rsidRDefault="000C53C2" w:rsidP="009B5ED1">
            <w:pPr>
              <w:jc w:val="center"/>
              <w:rPr>
                <w:sz w:val="22"/>
                <w:szCs w:val="22"/>
              </w:rPr>
            </w:pPr>
            <w:r w:rsidRPr="00AA2347">
              <w:rPr>
                <w:color w:val="000000"/>
                <w:sz w:val="22"/>
                <w:szCs w:val="22"/>
              </w:rPr>
              <w:t>II</w:t>
            </w:r>
          </w:p>
        </w:tc>
        <w:tc>
          <w:tcPr>
            <w:tcW w:w="21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0C53C2" w:rsidRPr="00AA2347" w:rsidRDefault="000C53C2" w:rsidP="009B5ED1">
            <w:pPr>
              <w:jc w:val="center"/>
              <w:rPr>
                <w:sz w:val="22"/>
                <w:szCs w:val="22"/>
              </w:rPr>
            </w:pPr>
            <w:r w:rsidRPr="00AA2347">
              <w:rPr>
                <w:color w:val="000000"/>
                <w:sz w:val="22"/>
                <w:szCs w:val="22"/>
              </w:rPr>
              <w:t>II</w:t>
            </w:r>
          </w:p>
        </w:tc>
        <w:tc>
          <w:tcPr>
            <w:tcW w:w="21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0C53C2" w:rsidRPr="00AA2347" w:rsidRDefault="000C53C2" w:rsidP="009B5ED1">
            <w:pPr>
              <w:jc w:val="center"/>
              <w:rPr>
                <w:sz w:val="22"/>
                <w:szCs w:val="22"/>
              </w:rPr>
            </w:pPr>
            <w:r w:rsidRPr="00AA2347">
              <w:rPr>
                <w:color w:val="000000"/>
                <w:sz w:val="22"/>
                <w:szCs w:val="22"/>
              </w:rPr>
              <w:t>II</w:t>
            </w:r>
          </w:p>
        </w:tc>
        <w:tc>
          <w:tcPr>
            <w:tcW w:w="21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0C53C2" w:rsidRPr="00AA2347" w:rsidRDefault="000C53C2" w:rsidP="009B5ED1">
            <w:pPr>
              <w:jc w:val="center"/>
              <w:rPr>
                <w:sz w:val="22"/>
                <w:szCs w:val="22"/>
              </w:rPr>
            </w:pPr>
            <w:r w:rsidRPr="00AA2347">
              <w:rPr>
                <w:color w:val="000000"/>
                <w:sz w:val="22"/>
                <w:szCs w:val="22"/>
              </w:rPr>
              <w:t>II</w:t>
            </w:r>
          </w:p>
        </w:tc>
        <w:tc>
          <w:tcPr>
            <w:tcW w:w="1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53C2" w:rsidRPr="00AA2347" w:rsidRDefault="000C53C2" w:rsidP="009B5ED1">
            <w:pPr>
              <w:jc w:val="center"/>
              <w:rPr>
                <w:color w:val="000000"/>
                <w:sz w:val="22"/>
                <w:szCs w:val="22"/>
              </w:rPr>
            </w:pPr>
            <w:r w:rsidRPr="00AA2347">
              <w:rPr>
                <w:color w:val="000000"/>
                <w:sz w:val="22"/>
                <w:szCs w:val="22"/>
                <w:lang w:val="fr-CA"/>
              </w:rPr>
              <w:t>I</w:t>
            </w:r>
          </w:p>
        </w:tc>
        <w:tc>
          <w:tcPr>
            <w:tcW w:w="1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53C2" w:rsidRPr="00AA2347" w:rsidRDefault="000C53C2" w:rsidP="009B5ED1">
            <w:pPr>
              <w:jc w:val="center"/>
              <w:rPr>
                <w:color w:val="000000"/>
                <w:sz w:val="22"/>
                <w:szCs w:val="22"/>
                <w:lang w:val="fr-CA"/>
              </w:rPr>
            </w:pPr>
            <w:r w:rsidRPr="00AA2347">
              <w:rPr>
                <w:color w:val="000000"/>
                <w:sz w:val="22"/>
                <w:szCs w:val="22"/>
                <w:lang w:val="fr-CA"/>
              </w:rPr>
              <w:t>I</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53C2" w:rsidRPr="00AA2347" w:rsidRDefault="000C53C2" w:rsidP="009B5ED1">
            <w:pPr>
              <w:jc w:val="center"/>
              <w:rPr>
                <w:color w:val="000000"/>
                <w:sz w:val="22"/>
                <w:szCs w:val="22"/>
              </w:rPr>
            </w:pPr>
            <w:r w:rsidRPr="00AA2347">
              <w:rPr>
                <w:color w:val="000000"/>
                <w:sz w:val="22"/>
                <w:szCs w:val="22"/>
                <w:lang w:val="fr-CA"/>
              </w:rPr>
              <w:t>I</w:t>
            </w:r>
          </w:p>
        </w:tc>
        <w:tc>
          <w:tcPr>
            <w:tcW w:w="185" w:type="pct"/>
            <w:tcBorders>
              <w:top w:val="single" w:sz="4" w:space="0" w:color="auto"/>
              <w:left w:val="single" w:sz="4" w:space="0" w:color="auto"/>
              <w:bottom w:val="single" w:sz="4" w:space="0" w:color="auto"/>
              <w:right w:val="single" w:sz="4" w:space="0" w:color="auto"/>
            </w:tcBorders>
            <w:vAlign w:val="center"/>
          </w:tcPr>
          <w:p w:rsidR="000C53C2" w:rsidRPr="00AA2347" w:rsidRDefault="000C53C2" w:rsidP="009B5ED1">
            <w:pPr>
              <w:jc w:val="center"/>
            </w:pPr>
            <w:r w:rsidRPr="00AA2347">
              <w:rPr>
                <w:color w:val="000000"/>
                <w:sz w:val="22"/>
                <w:szCs w:val="22"/>
                <w:lang w:val="fr-CA"/>
              </w:rPr>
              <w:t>I</w:t>
            </w:r>
          </w:p>
        </w:tc>
      </w:tr>
      <w:tr w:rsidR="000C53C2" w:rsidRPr="00AA2347" w:rsidTr="009B5ED1">
        <w:trPr>
          <w:cantSplit/>
          <w:trHeight w:val="360"/>
          <w:tblHeader/>
        </w:trPr>
        <w:tc>
          <w:tcPr>
            <w:tcW w:w="189" w:type="pct"/>
            <w:vMerge/>
            <w:tcBorders>
              <w:left w:val="nil"/>
              <w:bottom w:val="single" w:sz="4" w:space="0" w:color="auto"/>
              <w:right w:val="single" w:sz="4" w:space="0" w:color="auto"/>
            </w:tcBorders>
            <w:shd w:val="clear" w:color="auto" w:fill="A6A6A6" w:themeFill="background1" w:themeFillShade="A6"/>
          </w:tcPr>
          <w:p w:rsidR="000C53C2" w:rsidRPr="00AA2347" w:rsidRDefault="000C53C2" w:rsidP="009B5ED1">
            <w:pPr>
              <w:jc w:val="center"/>
              <w:rPr>
                <w:sz w:val="22"/>
                <w:szCs w:val="22"/>
              </w:rPr>
            </w:pPr>
          </w:p>
        </w:tc>
        <w:tc>
          <w:tcPr>
            <w:tcW w:w="167" w:type="pct"/>
            <w:tcBorders>
              <w:right w:val="single" w:sz="4" w:space="0" w:color="auto"/>
            </w:tcBorders>
            <w:shd w:val="clear" w:color="auto" w:fill="auto"/>
            <w:noWrap/>
            <w:vAlign w:val="center"/>
            <w:hideMark/>
          </w:tcPr>
          <w:p w:rsidR="000C53C2" w:rsidRPr="00AA2347" w:rsidRDefault="000C53C2" w:rsidP="009B5ED1">
            <w:pPr>
              <w:jc w:val="center"/>
              <w:rPr>
                <w:sz w:val="22"/>
                <w:szCs w:val="22"/>
              </w:rPr>
            </w:pPr>
            <w:r w:rsidRPr="00AA2347">
              <w:rPr>
                <w:sz w:val="22"/>
                <w:szCs w:val="22"/>
              </w:rPr>
              <w:t>6</w:t>
            </w:r>
          </w:p>
        </w:tc>
        <w:tc>
          <w:tcPr>
            <w:tcW w:w="220"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0C53C2" w:rsidRPr="00AA2347" w:rsidRDefault="000C53C2" w:rsidP="009B5ED1">
            <w:pPr>
              <w:jc w:val="center"/>
              <w:rPr>
                <w:sz w:val="22"/>
                <w:szCs w:val="22"/>
              </w:rPr>
            </w:pPr>
            <w:r w:rsidRPr="00AA2347">
              <w:rPr>
                <w:color w:val="000000"/>
                <w:sz w:val="22"/>
                <w:szCs w:val="22"/>
              </w:rPr>
              <w:t>IVb</w:t>
            </w:r>
          </w:p>
        </w:tc>
        <w:tc>
          <w:tcPr>
            <w:tcW w:w="220"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0C53C2" w:rsidRPr="00AA2347" w:rsidRDefault="000C53C2" w:rsidP="009B5ED1">
            <w:pPr>
              <w:jc w:val="center"/>
              <w:rPr>
                <w:sz w:val="22"/>
                <w:szCs w:val="22"/>
              </w:rPr>
            </w:pPr>
            <w:r w:rsidRPr="00AA2347">
              <w:rPr>
                <w:color w:val="000000"/>
                <w:sz w:val="22"/>
                <w:szCs w:val="22"/>
              </w:rPr>
              <w:t>IVb</w:t>
            </w:r>
          </w:p>
        </w:tc>
        <w:tc>
          <w:tcPr>
            <w:tcW w:w="220"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0C53C2" w:rsidRPr="00AA2347" w:rsidRDefault="000C53C2" w:rsidP="009B5ED1">
            <w:pPr>
              <w:jc w:val="center"/>
              <w:rPr>
                <w:sz w:val="22"/>
                <w:szCs w:val="22"/>
              </w:rPr>
            </w:pPr>
            <w:r w:rsidRPr="00AA2347">
              <w:rPr>
                <w:color w:val="000000"/>
                <w:sz w:val="22"/>
                <w:szCs w:val="22"/>
              </w:rPr>
              <w:t>IVb</w:t>
            </w:r>
          </w:p>
        </w:tc>
        <w:tc>
          <w:tcPr>
            <w:tcW w:w="220"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0C53C2" w:rsidRPr="00AA2347" w:rsidRDefault="000C53C2" w:rsidP="009B5ED1">
            <w:pPr>
              <w:jc w:val="center"/>
              <w:rPr>
                <w:sz w:val="22"/>
                <w:szCs w:val="22"/>
              </w:rPr>
            </w:pPr>
            <w:r w:rsidRPr="00AA2347">
              <w:rPr>
                <w:color w:val="000000"/>
                <w:sz w:val="22"/>
                <w:szCs w:val="22"/>
              </w:rPr>
              <w:t>IVa</w:t>
            </w:r>
          </w:p>
        </w:tc>
        <w:tc>
          <w:tcPr>
            <w:tcW w:w="220"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0C53C2" w:rsidRPr="00AA2347" w:rsidRDefault="000C53C2" w:rsidP="009B5ED1">
            <w:pPr>
              <w:jc w:val="center"/>
              <w:rPr>
                <w:sz w:val="22"/>
                <w:szCs w:val="22"/>
              </w:rPr>
            </w:pPr>
            <w:r w:rsidRPr="00AA2347">
              <w:rPr>
                <w:color w:val="000000"/>
                <w:sz w:val="22"/>
                <w:szCs w:val="22"/>
              </w:rPr>
              <w:t>IVa</w:t>
            </w:r>
          </w:p>
        </w:tc>
        <w:tc>
          <w:tcPr>
            <w:tcW w:w="220"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0C53C2" w:rsidRPr="00AA2347" w:rsidRDefault="000C53C2" w:rsidP="009B5ED1">
            <w:pPr>
              <w:jc w:val="center"/>
              <w:rPr>
                <w:sz w:val="22"/>
                <w:szCs w:val="22"/>
              </w:rPr>
            </w:pPr>
            <w:r w:rsidRPr="00AA2347">
              <w:rPr>
                <w:color w:val="000000"/>
                <w:sz w:val="22"/>
                <w:szCs w:val="22"/>
              </w:rPr>
              <w:t>IVa</w:t>
            </w:r>
          </w:p>
        </w:tc>
        <w:tc>
          <w:tcPr>
            <w:tcW w:w="220"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0C53C2" w:rsidRPr="00AA2347" w:rsidRDefault="000C53C2" w:rsidP="009B5ED1">
            <w:pPr>
              <w:jc w:val="center"/>
              <w:rPr>
                <w:sz w:val="22"/>
                <w:szCs w:val="22"/>
              </w:rPr>
            </w:pPr>
            <w:r w:rsidRPr="00AA2347">
              <w:rPr>
                <w:color w:val="000000"/>
                <w:sz w:val="22"/>
                <w:szCs w:val="22"/>
              </w:rPr>
              <w:t>IVa</w:t>
            </w:r>
          </w:p>
        </w:tc>
        <w:tc>
          <w:tcPr>
            <w:tcW w:w="220"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0C53C2" w:rsidRPr="00AA2347" w:rsidRDefault="000C53C2" w:rsidP="009B5ED1">
            <w:pPr>
              <w:jc w:val="center"/>
              <w:rPr>
                <w:sz w:val="22"/>
                <w:szCs w:val="22"/>
              </w:rPr>
            </w:pPr>
            <w:r w:rsidRPr="00AA2347">
              <w:rPr>
                <w:color w:val="000000"/>
                <w:sz w:val="22"/>
                <w:szCs w:val="22"/>
              </w:rPr>
              <w:t>IVa</w:t>
            </w:r>
          </w:p>
        </w:tc>
        <w:tc>
          <w:tcPr>
            <w:tcW w:w="22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0C53C2" w:rsidRPr="00AA2347" w:rsidRDefault="000C53C2" w:rsidP="009B5ED1">
            <w:pPr>
              <w:jc w:val="center"/>
              <w:rPr>
                <w:color w:val="000000"/>
                <w:sz w:val="22"/>
                <w:szCs w:val="22"/>
              </w:rPr>
            </w:pPr>
            <w:r w:rsidRPr="00AA2347">
              <w:rPr>
                <w:color w:val="000000"/>
                <w:sz w:val="22"/>
                <w:szCs w:val="22"/>
              </w:rPr>
              <w:t>III</w:t>
            </w:r>
          </w:p>
        </w:tc>
        <w:tc>
          <w:tcPr>
            <w:tcW w:w="22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0C53C2" w:rsidRPr="00AA2347" w:rsidRDefault="000C53C2" w:rsidP="009B5ED1">
            <w:pPr>
              <w:jc w:val="center"/>
              <w:rPr>
                <w:color w:val="000000"/>
                <w:sz w:val="22"/>
                <w:szCs w:val="22"/>
              </w:rPr>
            </w:pPr>
            <w:r w:rsidRPr="00AA2347">
              <w:rPr>
                <w:color w:val="000000"/>
                <w:sz w:val="22"/>
                <w:szCs w:val="22"/>
              </w:rPr>
              <w:t>III</w:t>
            </w:r>
          </w:p>
        </w:tc>
        <w:tc>
          <w:tcPr>
            <w:tcW w:w="22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0C53C2" w:rsidRPr="00AA2347" w:rsidRDefault="000C53C2" w:rsidP="009B5ED1">
            <w:pPr>
              <w:jc w:val="center"/>
              <w:rPr>
                <w:color w:val="000000"/>
                <w:sz w:val="22"/>
                <w:szCs w:val="22"/>
              </w:rPr>
            </w:pPr>
            <w:r w:rsidRPr="00AA2347">
              <w:rPr>
                <w:color w:val="000000"/>
                <w:sz w:val="22"/>
                <w:szCs w:val="22"/>
              </w:rPr>
              <w:t>III</w:t>
            </w:r>
          </w:p>
        </w:tc>
        <w:tc>
          <w:tcPr>
            <w:tcW w:w="22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0C53C2" w:rsidRPr="00AA2347" w:rsidRDefault="000C53C2" w:rsidP="009B5ED1">
            <w:pPr>
              <w:jc w:val="center"/>
              <w:rPr>
                <w:color w:val="000000"/>
                <w:sz w:val="22"/>
                <w:szCs w:val="22"/>
              </w:rPr>
            </w:pPr>
            <w:r w:rsidRPr="00AA2347">
              <w:rPr>
                <w:color w:val="000000"/>
                <w:sz w:val="22"/>
                <w:szCs w:val="22"/>
              </w:rPr>
              <w:t>III</w:t>
            </w:r>
          </w:p>
        </w:tc>
        <w:tc>
          <w:tcPr>
            <w:tcW w:w="22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0C53C2" w:rsidRPr="00AA2347" w:rsidRDefault="000C53C2" w:rsidP="009B5ED1">
            <w:pPr>
              <w:jc w:val="center"/>
              <w:rPr>
                <w:color w:val="000000"/>
                <w:sz w:val="22"/>
                <w:szCs w:val="22"/>
              </w:rPr>
            </w:pPr>
            <w:r w:rsidRPr="00AA2347">
              <w:rPr>
                <w:color w:val="000000"/>
                <w:sz w:val="22"/>
                <w:szCs w:val="22"/>
              </w:rPr>
              <w:t>III</w:t>
            </w:r>
          </w:p>
        </w:tc>
        <w:tc>
          <w:tcPr>
            <w:tcW w:w="21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0C53C2" w:rsidRPr="00AA2347" w:rsidRDefault="000C53C2" w:rsidP="009B5ED1">
            <w:pPr>
              <w:jc w:val="center"/>
              <w:rPr>
                <w:color w:val="000000"/>
                <w:sz w:val="22"/>
                <w:szCs w:val="22"/>
              </w:rPr>
            </w:pPr>
            <w:r w:rsidRPr="00AA2347">
              <w:rPr>
                <w:color w:val="000000"/>
                <w:sz w:val="22"/>
                <w:szCs w:val="22"/>
              </w:rPr>
              <w:t>III</w:t>
            </w:r>
          </w:p>
        </w:tc>
        <w:tc>
          <w:tcPr>
            <w:tcW w:w="21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0C53C2" w:rsidRPr="00AA2347" w:rsidRDefault="000C53C2" w:rsidP="009B5ED1">
            <w:pPr>
              <w:jc w:val="center"/>
              <w:rPr>
                <w:color w:val="000000"/>
                <w:sz w:val="22"/>
                <w:szCs w:val="22"/>
              </w:rPr>
            </w:pPr>
            <w:r w:rsidRPr="00AA2347">
              <w:rPr>
                <w:color w:val="000000"/>
                <w:sz w:val="22"/>
                <w:szCs w:val="22"/>
              </w:rPr>
              <w:t>III</w:t>
            </w:r>
          </w:p>
        </w:tc>
        <w:tc>
          <w:tcPr>
            <w:tcW w:w="21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0C53C2" w:rsidRPr="00AA2347" w:rsidRDefault="000C53C2" w:rsidP="009B5ED1">
            <w:pPr>
              <w:jc w:val="center"/>
              <w:rPr>
                <w:color w:val="000000"/>
                <w:sz w:val="22"/>
                <w:szCs w:val="22"/>
              </w:rPr>
            </w:pPr>
            <w:r w:rsidRPr="00AA2347">
              <w:rPr>
                <w:color w:val="000000"/>
                <w:sz w:val="22"/>
                <w:szCs w:val="22"/>
              </w:rPr>
              <w:t>III</w:t>
            </w:r>
          </w:p>
        </w:tc>
        <w:tc>
          <w:tcPr>
            <w:tcW w:w="21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0C53C2" w:rsidRPr="00AA2347" w:rsidRDefault="000C53C2" w:rsidP="009B5ED1">
            <w:pPr>
              <w:jc w:val="center"/>
              <w:rPr>
                <w:sz w:val="22"/>
                <w:szCs w:val="22"/>
              </w:rPr>
            </w:pPr>
            <w:r w:rsidRPr="00AA2347">
              <w:rPr>
                <w:color w:val="000000"/>
                <w:sz w:val="22"/>
                <w:szCs w:val="22"/>
              </w:rPr>
              <w:t>II</w:t>
            </w:r>
          </w:p>
        </w:tc>
        <w:tc>
          <w:tcPr>
            <w:tcW w:w="21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0C53C2" w:rsidRPr="00AA2347" w:rsidRDefault="000C53C2" w:rsidP="009B5ED1">
            <w:pPr>
              <w:jc w:val="center"/>
              <w:rPr>
                <w:sz w:val="22"/>
                <w:szCs w:val="22"/>
              </w:rPr>
            </w:pPr>
            <w:r w:rsidRPr="00AA2347">
              <w:rPr>
                <w:color w:val="000000"/>
                <w:sz w:val="22"/>
                <w:szCs w:val="22"/>
              </w:rPr>
              <w:t>II</w:t>
            </w:r>
          </w:p>
        </w:tc>
        <w:tc>
          <w:tcPr>
            <w:tcW w:w="167"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0C53C2" w:rsidRPr="00AA2347" w:rsidRDefault="000C53C2" w:rsidP="009B5ED1">
            <w:pPr>
              <w:jc w:val="center"/>
              <w:rPr>
                <w:sz w:val="22"/>
                <w:szCs w:val="22"/>
              </w:rPr>
            </w:pPr>
            <w:r w:rsidRPr="00AA2347">
              <w:rPr>
                <w:color w:val="000000"/>
                <w:sz w:val="22"/>
                <w:szCs w:val="22"/>
              </w:rPr>
              <w:t>II</w:t>
            </w:r>
          </w:p>
        </w:tc>
        <w:tc>
          <w:tcPr>
            <w:tcW w:w="167"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0C53C2" w:rsidRPr="00AA2347" w:rsidRDefault="000C53C2" w:rsidP="009B5ED1">
            <w:pPr>
              <w:jc w:val="center"/>
              <w:rPr>
                <w:sz w:val="22"/>
                <w:szCs w:val="22"/>
              </w:rPr>
            </w:pPr>
            <w:r w:rsidRPr="00AA2347">
              <w:rPr>
                <w:color w:val="000000"/>
                <w:sz w:val="22"/>
                <w:szCs w:val="22"/>
              </w:rPr>
              <w:t>II</w:t>
            </w:r>
          </w:p>
        </w:tc>
        <w:tc>
          <w:tcPr>
            <w:tcW w:w="18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0C53C2" w:rsidRPr="00AA2347" w:rsidRDefault="000C53C2" w:rsidP="009B5ED1">
            <w:pPr>
              <w:jc w:val="center"/>
              <w:rPr>
                <w:sz w:val="22"/>
                <w:szCs w:val="22"/>
              </w:rPr>
            </w:pPr>
            <w:r w:rsidRPr="00AA2347">
              <w:rPr>
                <w:color w:val="000000"/>
                <w:sz w:val="22"/>
                <w:szCs w:val="22"/>
              </w:rPr>
              <w:t>II</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3C2" w:rsidRPr="00AA2347" w:rsidRDefault="000C53C2" w:rsidP="009B5ED1">
            <w:pPr>
              <w:jc w:val="center"/>
            </w:pPr>
            <w:r w:rsidRPr="00AA2347">
              <w:rPr>
                <w:color w:val="000000"/>
                <w:sz w:val="22"/>
                <w:szCs w:val="22"/>
                <w:lang w:val="fr-CA"/>
              </w:rPr>
              <w:t>I</w:t>
            </w:r>
          </w:p>
        </w:tc>
      </w:tr>
      <w:tr w:rsidR="000C53C2" w:rsidRPr="00AA2347" w:rsidTr="009B5ED1">
        <w:trPr>
          <w:cantSplit/>
          <w:trHeight w:val="360"/>
          <w:tblHeader/>
        </w:trPr>
        <w:tc>
          <w:tcPr>
            <w:tcW w:w="189" w:type="pct"/>
            <w:vMerge/>
            <w:tcBorders>
              <w:left w:val="nil"/>
              <w:bottom w:val="single" w:sz="4" w:space="0" w:color="auto"/>
              <w:right w:val="single" w:sz="4" w:space="0" w:color="auto"/>
            </w:tcBorders>
            <w:shd w:val="clear" w:color="auto" w:fill="A6A6A6" w:themeFill="background1" w:themeFillShade="A6"/>
          </w:tcPr>
          <w:p w:rsidR="000C53C2" w:rsidRPr="00AA2347" w:rsidRDefault="000C53C2" w:rsidP="009B5ED1">
            <w:pPr>
              <w:jc w:val="center"/>
              <w:rPr>
                <w:sz w:val="22"/>
                <w:szCs w:val="22"/>
              </w:rPr>
            </w:pPr>
          </w:p>
        </w:tc>
        <w:tc>
          <w:tcPr>
            <w:tcW w:w="167" w:type="pct"/>
            <w:tcBorders>
              <w:right w:val="single" w:sz="4" w:space="0" w:color="auto"/>
            </w:tcBorders>
            <w:shd w:val="clear" w:color="auto" w:fill="auto"/>
            <w:noWrap/>
            <w:vAlign w:val="center"/>
            <w:hideMark/>
          </w:tcPr>
          <w:p w:rsidR="000C53C2" w:rsidRPr="00AA2347" w:rsidRDefault="000C53C2" w:rsidP="009B5ED1">
            <w:pPr>
              <w:jc w:val="center"/>
              <w:rPr>
                <w:sz w:val="22"/>
                <w:szCs w:val="22"/>
              </w:rPr>
            </w:pPr>
            <w:r w:rsidRPr="00AA2347">
              <w:rPr>
                <w:sz w:val="22"/>
                <w:szCs w:val="22"/>
              </w:rPr>
              <w:t>7</w:t>
            </w:r>
          </w:p>
        </w:tc>
        <w:tc>
          <w:tcPr>
            <w:tcW w:w="220"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0C53C2" w:rsidRPr="00AA2347" w:rsidRDefault="000C53C2" w:rsidP="009B5ED1">
            <w:pPr>
              <w:jc w:val="center"/>
              <w:rPr>
                <w:sz w:val="22"/>
                <w:szCs w:val="22"/>
              </w:rPr>
            </w:pPr>
            <w:r w:rsidRPr="00AA2347">
              <w:rPr>
                <w:color w:val="000000"/>
                <w:sz w:val="22"/>
                <w:szCs w:val="22"/>
              </w:rPr>
              <w:t>IVb</w:t>
            </w:r>
          </w:p>
        </w:tc>
        <w:tc>
          <w:tcPr>
            <w:tcW w:w="220"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0C53C2" w:rsidRPr="00AA2347" w:rsidRDefault="000C53C2" w:rsidP="009B5ED1">
            <w:pPr>
              <w:jc w:val="center"/>
              <w:rPr>
                <w:sz w:val="22"/>
                <w:szCs w:val="22"/>
              </w:rPr>
            </w:pPr>
            <w:r w:rsidRPr="00AA2347">
              <w:rPr>
                <w:color w:val="000000"/>
                <w:sz w:val="22"/>
                <w:szCs w:val="22"/>
              </w:rPr>
              <w:t>IVb</w:t>
            </w:r>
          </w:p>
        </w:tc>
        <w:tc>
          <w:tcPr>
            <w:tcW w:w="220"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0C53C2" w:rsidRPr="00AA2347" w:rsidRDefault="000C53C2" w:rsidP="009B5ED1">
            <w:pPr>
              <w:jc w:val="center"/>
              <w:rPr>
                <w:sz w:val="22"/>
                <w:szCs w:val="22"/>
              </w:rPr>
            </w:pPr>
            <w:r w:rsidRPr="00AA2347">
              <w:rPr>
                <w:color w:val="000000"/>
                <w:sz w:val="22"/>
                <w:szCs w:val="22"/>
              </w:rPr>
              <w:t>IVb</w:t>
            </w:r>
          </w:p>
        </w:tc>
        <w:tc>
          <w:tcPr>
            <w:tcW w:w="220"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0C53C2" w:rsidRPr="00AA2347" w:rsidRDefault="000C53C2" w:rsidP="009B5ED1">
            <w:pPr>
              <w:jc w:val="center"/>
              <w:rPr>
                <w:sz w:val="22"/>
                <w:szCs w:val="22"/>
              </w:rPr>
            </w:pPr>
            <w:r w:rsidRPr="00AA2347">
              <w:rPr>
                <w:color w:val="000000"/>
                <w:sz w:val="22"/>
                <w:szCs w:val="22"/>
              </w:rPr>
              <w:t>IVb</w:t>
            </w:r>
          </w:p>
        </w:tc>
        <w:tc>
          <w:tcPr>
            <w:tcW w:w="220"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0C53C2" w:rsidRPr="00AA2347" w:rsidRDefault="000C53C2" w:rsidP="009B5ED1">
            <w:pPr>
              <w:jc w:val="center"/>
              <w:rPr>
                <w:sz w:val="22"/>
                <w:szCs w:val="22"/>
              </w:rPr>
            </w:pPr>
            <w:r w:rsidRPr="00AA2347">
              <w:rPr>
                <w:color w:val="000000"/>
                <w:sz w:val="22"/>
                <w:szCs w:val="22"/>
              </w:rPr>
              <w:t>IVb</w:t>
            </w:r>
          </w:p>
        </w:tc>
        <w:tc>
          <w:tcPr>
            <w:tcW w:w="220"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0C53C2" w:rsidRPr="00AA2347" w:rsidRDefault="000C53C2" w:rsidP="009B5ED1">
            <w:pPr>
              <w:jc w:val="center"/>
              <w:rPr>
                <w:sz w:val="22"/>
                <w:szCs w:val="22"/>
              </w:rPr>
            </w:pPr>
            <w:r w:rsidRPr="00AA2347">
              <w:rPr>
                <w:color w:val="000000"/>
                <w:sz w:val="22"/>
                <w:szCs w:val="22"/>
              </w:rPr>
              <w:t>IVb</w:t>
            </w:r>
          </w:p>
        </w:tc>
        <w:tc>
          <w:tcPr>
            <w:tcW w:w="220"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0C53C2" w:rsidRPr="00AA2347" w:rsidRDefault="000C53C2" w:rsidP="009B5ED1">
            <w:pPr>
              <w:jc w:val="center"/>
              <w:rPr>
                <w:sz w:val="22"/>
                <w:szCs w:val="22"/>
              </w:rPr>
            </w:pPr>
            <w:r w:rsidRPr="00AA2347">
              <w:rPr>
                <w:color w:val="000000"/>
                <w:sz w:val="22"/>
                <w:szCs w:val="22"/>
              </w:rPr>
              <w:t>IVa</w:t>
            </w:r>
          </w:p>
        </w:tc>
        <w:tc>
          <w:tcPr>
            <w:tcW w:w="220"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0C53C2" w:rsidRPr="00AA2347" w:rsidRDefault="000C53C2" w:rsidP="009B5ED1">
            <w:pPr>
              <w:jc w:val="center"/>
              <w:rPr>
                <w:sz w:val="22"/>
                <w:szCs w:val="22"/>
              </w:rPr>
            </w:pPr>
            <w:r w:rsidRPr="00AA2347">
              <w:rPr>
                <w:color w:val="000000"/>
                <w:sz w:val="22"/>
                <w:szCs w:val="22"/>
              </w:rPr>
              <w:t>IVa</w:t>
            </w:r>
          </w:p>
        </w:tc>
        <w:tc>
          <w:tcPr>
            <w:tcW w:w="220"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0C53C2" w:rsidRPr="00AA2347" w:rsidRDefault="000C53C2" w:rsidP="009B5ED1">
            <w:pPr>
              <w:jc w:val="center"/>
              <w:rPr>
                <w:sz w:val="22"/>
                <w:szCs w:val="22"/>
              </w:rPr>
            </w:pPr>
            <w:r w:rsidRPr="00AA2347">
              <w:rPr>
                <w:color w:val="000000"/>
                <w:sz w:val="22"/>
                <w:szCs w:val="22"/>
              </w:rPr>
              <w:t>IVa</w:t>
            </w:r>
          </w:p>
        </w:tc>
        <w:tc>
          <w:tcPr>
            <w:tcW w:w="220"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0C53C2" w:rsidRPr="00AA2347" w:rsidRDefault="000C53C2" w:rsidP="009B5ED1">
            <w:pPr>
              <w:jc w:val="center"/>
              <w:rPr>
                <w:sz w:val="22"/>
                <w:szCs w:val="22"/>
              </w:rPr>
            </w:pPr>
            <w:r w:rsidRPr="00AA2347">
              <w:rPr>
                <w:color w:val="000000"/>
                <w:sz w:val="22"/>
                <w:szCs w:val="22"/>
              </w:rPr>
              <w:t>IVa</w:t>
            </w:r>
          </w:p>
        </w:tc>
        <w:tc>
          <w:tcPr>
            <w:tcW w:w="220"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0C53C2" w:rsidRPr="00AA2347" w:rsidRDefault="000C53C2" w:rsidP="009B5ED1">
            <w:pPr>
              <w:jc w:val="center"/>
              <w:rPr>
                <w:sz w:val="22"/>
                <w:szCs w:val="22"/>
              </w:rPr>
            </w:pPr>
            <w:r w:rsidRPr="00AA2347">
              <w:rPr>
                <w:color w:val="000000"/>
                <w:sz w:val="22"/>
                <w:szCs w:val="22"/>
              </w:rPr>
              <w:t>IVa</w:t>
            </w:r>
          </w:p>
        </w:tc>
        <w:tc>
          <w:tcPr>
            <w:tcW w:w="22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0C53C2" w:rsidRPr="00AA2347" w:rsidRDefault="000C53C2" w:rsidP="009B5ED1">
            <w:pPr>
              <w:jc w:val="center"/>
              <w:rPr>
                <w:sz w:val="22"/>
                <w:szCs w:val="22"/>
              </w:rPr>
            </w:pPr>
            <w:r w:rsidRPr="00AA2347">
              <w:rPr>
                <w:color w:val="000000"/>
                <w:sz w:val="22"/>
                <w:szCs w:val="22"/>
              </w:rPr>
              <w:t>III</w:t>
            </w:r>
          </w:p>
        </w:tc>
        <w:tc>
          <w:tcPr>
            <w:tcW w:w="22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0C53C2" w:rsidRPr="00AA2347" w:rsidRDefault="000C53C2" w:rsidP="009B5ED1">
            <w:pPr>
              <w:jc w:val="center"/>
              <w:rPr>
                <w:sz w:val="22"/>
                <w:szCs w:val="22"/>
              </w:rPr>
            </w:pPr>
            <w:r w:rsidRPr="00AA2347">
              <w:rPr>
                <w:color w:val="000000"/>
                <w:sz w:val="22"/>
                <w:szCs w:val="22"/>
              </w:rPr>
              <w:t>III</w:t>
            </w:r>
          </w:p>
        </w:tc>
        <w:tc>
          <w:tcPr>
            <w:tcW w:w="21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0C53C2" w:rsidRPr="00AA2347" w:rsidRDefault="000C53C2" w:rsidP="009B5ED1">
            <w:pPr>
              <w:jc w:val="center"/>
              <w:rPr>
                <w:sz w:val="22"/>
                <w:szCs w:val="22"/>
              </w:rPr>
            </w:pPr>
            <w:r w:rsidRPr="00AA2347">
              <w:rPr>
                <w:color w:val="000000"/>
                <w:sz w:val="22"/>
                <w:szCs w:val="22"/>
              </w:rPr>
              <w:t>III</w:t>
            </w:r>
          </w:p>
        </w:tc>
        <w:tc>
          <w:tcPr>
            <w:tcW w:w="21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0C53C2" w:rsidRPr="00AA2347" w:rsidRDefault="000C53C2" w:rsidP="009B5ED1">
            <w:pPr>
              <w:jc w:val="center"/>
              <w:rPr>
                <w:sz w:val="22"/>
                <w:szCs w:val="22"/>
              </w:rPr>
            </w:pPr>
            <w:r w:rsidRPr="00AA2347">
              <w:rPr>
                <w:color w:val="000000"/>
                <w:sz w:val="22"/>
                <w:szCs w:val="22"/>
              </w:rPr>
              <w:t>III</w:t>
            </w:r>
          </w:p>
        </w:tc>
        <w:tc>
          <w:tcPr>
            <w:tcW w:w="21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0C53C2" w:rsidRPr="00AA2347" w:rsidRDefault="000C53C2" w:rsidP="009B5ED1">
            <w:pPr>
              <w:jc w:val="center"/>
              <w:rPr>
                <w:sz w:val="22"/>
                <w:szCs w:val="22"/>
              </w:rPr>
            </w:pPr>
            <w:r w:rsidRPr="00AA2347">
              <w:rPr>
                <w:color w:val="000000"/>
                <w:sz w:val="22"/>
                <w:szCs w:val="22"/>
              </w:rPr>
              <w:t>III</w:t>
            </w:r>
          </w:p>
        </w:tc>
        <w:tc>
          <w:tcPr>
            <w:tcW w:w="21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0C53C2" w:rsidRPr="00AA2347" w:rsidRDefault="000C53C2" w:rsidP="009B5ED1">
            <w:pPr>
              <w:jc w:val="center"/>
              <w:rPr>
                <w:sz w:val="22"/>
                <w:szCs w:val="22"/>
              </w:rPr>
            </w:pPr>
            <w:r w:rsidRPr="00AA2347">
              <w:rPr>
                <w:color w:val="000000"/>
                <w:sz w:val="22"/>
                <w:szCs w:val="22"/>
              </w:rPr>
              <w:t>III</w:t>
            </w:r>
          </w:p>
        </w:tc>
        <w:tc>
          <w:tcPr>
            <w:tcW w:w="21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0C53C2" w:rsidRPr="00AA2347" w:rsidRDefault="000C53C2" w:rsidP="009B5ED1">
            <w:pPr>
              <w:jc w:val="center"/>
              <w:rPr>
                <w:sz w:val="22"/>
                <w:szCs w:val="22"/>
              </w:rPr>
            </w:pPr>
            <w:r w:rsidRPr="00AA2347">
              <w:rPr>
                <w:color w:val="000000"/>
                <w:sz w:val="22"/>
                <w:szCs w:val="22"/>
              </w:rPr>
              <w:t>III</w:t>
            </w:r>
          </w:p>
        </w:tc>
        <w:tc>
          <w:tcPr>
            <w:tcW w:w="167"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0C53C2" w:rsidRPr="00AA2347" w:rsidRDefault="000C53C2" w:rsidP="009B5ED1">
            <w:pPr>
              <w:jc w:val="center"/>
              <w:rPr>
                <w:sz w:val="22"/>
                <w:szCs w:val="22"/>
              </w:rPr>
            </w:pPr>
            <w:r w:rsidRPr="00AA2347">
              <w:rPr>
                <w:color w:val="000000"/>
                <w:sz w:val="22"/>
                <w:szCs w:val="22"/>
              </w:rPr>
              <w:t>II</w:t>
            </w:r>
          </w:p>
        </w:tc>
        <w:tc>
          <w:tcPr>
            <w:tcW w:w="167"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0C53C2" w:rsidRPr="00AA2347" w:rsidRDefault="000C53C2" w:rsidP="009B5ED1">
            <w:pPr>
              <w:jc w:val="center"/>
              <w:rPr>
                <w:sz w:val="22"/>
                <w:szCs w:val="22"/>
              </w:rPr>
            </w:pPr>
            <w:r w:rsidRPr="00AA2347">
              <w:rPr>
                <w:color w:val="000000"/>
                <w:sz w:val="22"/>
                <w:szCs w:val="22"/>
              </w:rPr>
              <w:t>II</w:t>
            </w:r>
          </w:p>
        </w:tc>
        <w:tc>
          <w:tcPr>
            <w:tcW w:w="18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0C53C2" w:rsidRPr="00AA2347" w:rsidRDefault="000C53C2" w:rsidP="009B5ED1">
            <w:pPr>
              <w:jc w:val="center"/>
              <w:rPr>
                <w:sz w:val="22"/>
                <w:szCs w:val="22"/>
              </w:rPr>
            </w:pPr>
            <w:r w:rsidRPr="00AA2347">
              <w:rPr>
                <w:color w:val="000000"/>
                <w:sz w:val="22"/>
                <w:szCs w:val="22"/>
              </w:rPr>
              <w:t>II</w:t>
            </w:r>
          </w:p>
        </w:tc>
        <w:tc>
          <w:tcPr>
            <w:tcW w:w="18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C53C2" w:rsidRPr="00AA2347" w:rsidRDefault="000C53C2" w:rsidP="009B5ED1">
            <w:pPr>
              <w:jc w:val="center"/>
              <w:rPr>
                <w:color w:val="000000"/>
                <w:sz w:val="22"/>
                <w:szCs w:val="22"/>
              </w:rPr>
            </w:pPr>
            <w:r w:rsidRPr="00AA2347">
              <w:rPr>
                <w:color w:val="000000"/>
                <w:sz w:val="22"/>
                <w:szCs w:val="22"/>
              </w:rPr>
              <w:t>II</w:t>
            </w:r>
          </w:p>
        </w:tc>
      </w:tr>
      <w:tr w:rsidR="000C53C2" w:rsidRPr="00AA2347" w:rsidTr="009B5ED1">
        <w:trPr>
          <w:cantSplit/>
          <w:trHeight w:val="360"/>
          <w:tblHeader/>
        </w:trPr>
        <w:tc>
          <w:tcPr>
            <w:tcW w:w="189" w:type="pct"/>
            <w:vMerge/>
            <w:tcBorders>
              <w:left w:val="nil"/>
              <w:bottom w:val="single" w:sz="4" w:space="0" w:color="auto"/>
              <w:right w:val="single" w:sz="4" w:space="0" w:color="auto"/>
            </w:tcBorders>
            <w:shd w:val="clear" w:color="auto" w:fill="A6A6A6" w:themeFill="background1" w:themeFillShade="A6"/>
          </w:tcPr>
          <w:p w:rsidR="000C53C2" w:rsidRPr="00AA2347" w:rsidRDefault="000C53C2" w:rsidP="009B5ED1">
            <w:pPr>
              <w:jc w:val="center"/>
              <w:rPr>
                <w:sz w:val="22"/>
                <w:szCs w:val="22"/>
              </w:rPr>
            </w:pPr>
          </w:p>
        </w:tc>
        <w:tc>
          <w:tcPr>
            <w:tcW w:w="167" w:type="pct"/>
            <w:tcBorders>
              <w:right w:val="single" w:sz="4" w:space="0" w:color="auto"/>
            </w:tcBorders>
            <w:shd w:val="clear" w:color="auto" w:fill="auto"/>
            <w:noWrap/>
            <w:vAlign w:val="center"/>
            <w:hideMark/>
          </w:tcPr>
          <w:p w:rsidR="000C53C2" w:rsidRPr="00AA2347" w:rsidRDefault="000C53C2" w:rsidP="009B5ED1">
            <w:pPr>
              <w:jc w:val="center"/>
              <w:rPr>
                <w:sz w:val="22"/>
                <w:szCs w:val="22"/>
              </w:rPr>
            </w:pPr>
            <w:r w:rsidRPr="00AA2347">
              <w:rPr>
                <w:sz w:val="22"/>
                <w:szCs w:val="22"/>
              </w:rPr>
              <w:t>8</w:t>
            </w:r>
          </w:p>
        </w:tc>
        <w:tc>
          <w:tcPr>
            <w:tcW w:w="220"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0C53C2" w:rsidRPr="00AA2347" w:rsidRDefault="000C53C2" w:rsidP="009B5ED1">
            <w:pPr>
              <w:jc w:val="center"/>
              <w:rPr>
                <w:sz w:val="22"/>
                <w:szCs w:val="22"/>
              </w:rPr>
            </w:pPr>
            <w:r w:rsidRPr="00AA2347">
              <w:rPr>
                <w:color w:val="000000"/>
                <w:sz w:val="22"/>
                <w:szCs w:val="22"/>
              </w:rPr>
              <w:t>IVb</w:t>
            </w:r>
          </w:p>
        </w:tc>
        <w:tc>
          <w:tcPr>
            <w:tcW w:w="220"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0C53C2" w:rsidRPr="00AA2347" w:rsidRDefault="000C53C2" w:rsidP="009B5ED1">
            <w:pPr>
              <w:jc w:val="center"/>
              <w:rPr>
                <w:sz w:val="22"/>
                <w:szCs w:val="22"/>
              </w:rPr>
            </w:pPr>
            <w:r w:rsidRPr="00AA2347">
              <w:rPr>
                <w:color w:val="000000"/>
                <w:sz w:val="22"/>
                <w:szCs w:val="22"/>
              </w:rPr>
              <w:t>IVb</w:t>
            </w:r>
          </w:p>
        </w:tc>
        <w:tc>
          <w:tcPr>
            <w:tcW w:w="220"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0C53C2" w:rsidRPr="00AA2347" w:rsidRDefault="000C53C2" w:rsidP="009B5ED1">
            <w:pPr>
              <w:jc w:val="center"/>
              <w:rPr>
                <w:sz w:val="22"/>
                <w:szCs w:val="22"/>
              </w:rPr>
            </w:pPr>
            <w:r w:rsidRPr="00AA2347">
              <w:rPr>
                <w:color w:val="000000"/>
                <w:sz w:val="22"/>
                <w:szCs w:val="22"/>
              </w:rPr>
              <w:t>IVb</w:t>
            </w:r>
          </w:p>
        </w:tc>
        <w:tc>
          <w:tcPr>
            <w:tcW w:w="220"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0C53C2" w:rsidRPr="00AA2347" w:rsidRDefault="000C53C2" w:rsidP="009B5ED1">
            <w:pPr>
              <w:jc w:val="center"/>
              <w:rPr>
                <w:sz w:val="22"/>
                <w:szCs w:val="22"/>
              </w:rPr>
            </w:pPr>
            <w:r w:rsidRPr="00AA2347">
              <w:rPr>
                <w:color w:val="000000"/>
                <w:sz w:val="22"/>
                <w:szCs w:val="22"/>
              </w:rPr>
              <w:t>IVb</w:t>
            </w:r>
          </w:p>
        </w:tc>
        <w:tc>
          <w:tcPr>
            <w:tcW w:w="220"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0C53C2" w:rsidRPr="00AA2347" w:rsidRDefault="000C53C2" w:rsidP="009B5ED1">
            <w:pPr>
              <w:jc w:val="center"/>
              <w:rPr>
                <w:sz w:val="22"/>
                <w:szCs w:val="22"/>
              </w:rPr>
            </w:pPr>
            <w:r w:rsidRPr="00AA2347">
              <w:rPr>
                <w:color w:val="000000"/>
                <w:sz w:val="22"/>
                <w:szCs w:val="22"/>
              </w:rPr>
              <w:t>IVb</w:t>
            </w:r>
          </w:p>
        </w:tc>
        <w:tc>
          <w:tcPr>
            <w:tcW w:w="220"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0C53C2" w:rsidRPr="00AA2347" w:rsidRDefault="000C53C2" w:rsidP="009B5ED1">
            <w:pPr>
              <w:jc w:val="center"/>
              <w:rPr>
                <w:sz w:val="22"/>
                <w:szCs w:val="22"/>
              </w:rPr>
            </w:pPr>
            <w:r w:rsidRPr="00AA2347">
              <w:rPr>
                <w:color w:val="000000"/>
                <w:sz w:val="22"/>
                <w:szCs w:val="22"/>
              </w:rPr>
              <w:t>IVb</w:t>
            </w:r>
          </w:p>
        </w:tc>
        <w:tc>
          <w:tcPr>
            <w:tcW w:w="220"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0C53C2" w:rsidRPr="00AA2347" w:rsidRDefault="000C53C2" w:rsidP="009B5ED1">
            <w:pPr>
              <w:jc w:val="center"/>
              <w:rPr>
                <w:sz w:val="22"/>
                <w:szCs w:val="22"/>
              </w:rPr>
            </w:pPr>
            <w:r w:rsidRPr="00AA2347">
              <w:rPr>
                <w:color w:val="000000"/>
                <w:sz w:val="22"/>
                <w:szCs w:val="22"/>
              </w:rPr>
              <w:t>IVb</w:t>
            </w:r>
          </w:p>
        </w:tc>
        <w:tc>
          <w:tcPr>
            <w:tcW w:w="220"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0C53C2" w:rsidRPr="00AA2347" w:rsidRDefault="000C53C2" w:rsidP="009B5ED1">
            <w:pPr>
              <w:jc w:val="center"/>
              <w:rPr>
                <w:sz w:val="22"/>
                <w:szCs w:val="22"/>
              </w:rPr>
            </w:pPr>
            <w:r w:rsidRPr="00AA2347">
              <w:rPr>
                <w:color w:val="000000"/>
                <w:sz w:val="22"/>
                <w:szCs w:val="22"/>
              </w:rPr>
              <w:t>IVb</w:t>
            </w:r>
          </w:p>
        </w:tc>
        <w:tc>
          <w:tcPr>
            <w:tcW w:w="220"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0C53C2" w:rsidRPr="00AA2347" w:rsidRDefault="000C53C2" w:rsidP="009B5ED1">
            <w:pPr>
              <w:jc w:val="center"/>
              <w:rPr>
                <w:sz w:val="22"/>
                <w:szCs w:val="22"/>
              </w:rPr>
            </w:pPr>
            <w:r w:rsidRPr="00AA2347">
              <w:rPr>
                <w:color w:val="000000"/>
                <w:sz w:val="22"/>
                <w:szCs w:val="22"/>
              </w:rPr>
              <w:t>IVa</w:t>
            </w:r>
          </w:p>
        </w:tc>
        <w:tc>
          <w:tcPr>
            <w:tcW w:w="220"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0C53C2" w:rsidRPr="00AA2347" w:rsidRDefault="000C53C2" w:rsidP="009B5ED1">
            <w:pPr>
              <w:jc w:val="center"/>
              <w:rPr>
                <w:sz w:val="22"/>
                <w:szCs w:val="22"/>
              </w:rPr>
            </w:pPr>
            <w:r w:rsidRPr="00AA2347">
              <w:rPr>
                <w:color w:val="000000"/>
                <w:sz w:val="22"/>
                <w:szCs w:val="22"/>
              </w:rPr>
              <w:t>IVa</w:t>
            </w:r>
          </w:p>
        </w:tc>
        <w:tc>
          <w:tcPr>
            <w:tcW w:w="220"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0C53C2" w:rsidRPr="00AA2347" w:rsidRDefault="000C53C2" w:rsidP="009B5ED1">
            <w:pPr>
              <w:jc w:val="center"/>
              <w:rPr>
                <w:sz w:val="22"/>
                <w:szCs w:val="22"/>
              </w:rPr>
            </w:pPr>
            <w:r w:rsidRPr="00AA2347">
              <w:rPr>
                <w:color w:val="000000"/>
                <w:sz w:val="22"/>
                <w:szCs w:val="22"/>
              </w:rPr>
              <w:t>IVa</w:t>
            </w:r>
          </w:p>
        </w:tc>
        <w:tc>
          <w:tcPr>
            <w:tcW w:w="220"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0C53C2" w:rsidRPr="00AA2347" w:rsidRDefault="000C53C2" w:rsidP="009B5ED1">
            <w:pPr>
              <w:jc w:val="center"/>
              <w:rPr>
                <w:sz w:val="22"/>
                <w:szCs w:val="22"/>
              </w:rPr>
            </w:pPr>
            <w:r w:rsidRPr="00AA2347">
              <w:rPr>
                <w:color w:val="000000"/>
                <w:sz w:val="22"/>
                <w:szCs w:val="22"/>
              </w:rPr>
              <w:t>IVa</w:t>
            </w:r>
          </w:p>
        </w:tc>
        <w:tc>
          <w:tcPr>
            <w:tcW w:w="220"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0C53C2" w:rsidRPr="00AA2347" w:rsidRDefault="000C53C2" w:rsidP="009B5ED1">
            <w:pPr>
              <w:jc w:val="center"/>
              <w:rPr>
                <w:sz w:val="22"/>
                <w:szCs w:val="22"/>
              </w:rPr>
            </w:pPr>
            <w:r w:rsidRPr="00AA2347">
              <w:rPr>
                <w:color w:val="000000"/>
                <w:sz w:val="22"/>
                <w:szCs w:val="22"/>
              </w:rPr>
              <w:t>IVa</w:t>
            </w:r>
          </w:p>
        </w:tc>
        <w:tc>
          <w:tcPr>
            <w:tcW w:w="21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0C53C2" w:rsidRPr="00AA2347" w:rsidRDefault="000C53C2" w:rsidP="009B5ED1">
            <w:pPr>
              <w:jc w:val="center"/>
              <w:rPr>
                <w:sz w:val="22"/>
                <w:szCs w:val="22"/>
              </w:rPr>
            </w:pPr>
            <w:r w:rsidRPr="00AA2347">
              <w:rPr>
                <w:color w:val="000000"/>
                <w:sz w:val="22"/>
                <w:szCs w:val="22"/>
              </w:rPr>
              <w:t>III</w:t>
            </w:r>
          </w:p>
        </w:tc>
        <w:tc>
          <w:tcPr>
            <w:tcW w:w="21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0C53C2" w:rsidRPr="00AA2347" w:rsidRDefault="000C53C2" w:rsidP="009B5ED1">
            <w:pPr>
              <w:jc w:val="center"/>
              <w:rPr>
                <w:sz w:val="22"/>
                <w:szCs w:val="22"/>
              </w:rPr>
            </w:pPr>
            <w:r w:rsidRPr="00AA2347">
              <w:rPr>
                <w:color w:val="000000"/>
                <w:sz w:val="22"/>
                <w:szCs w:val="22"/>
              </w:rPr>
              <w:t>III</w:t>
            </w:r>
          </w:p>
        </w:tc>
        <w:tc>
          <w:tcPr>
            <w:tcW w:w="21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0C53C2" w:rsidRPr="00AA2347" w:rsidRDefault="000C53C2" w:rsidP="009B5ED1">
            <w:pPr>
              <w:jc w:val="center"/>
              <w:rPr>
                <w:sz w:val="22"/>
                <w:szCs w:val="22"/>
              </w:rPr>
            </w:pPr>
            <w:r w:rsidRPr="00AA2347">
              <w:rPr>
                <w:color w:val="000000"/>
                <w:sz w:val="22"/>
                <w:szCs w:val="22"/>
              </w:rPr>
              <w:t>III</w:t>
            </w:r>
          </w:p>
        </w:tc>
        <w:tc>
          <w:tcPr>
            <w:tcW w:w="21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0C53C2" w:rsidRPr="00AA2347" w:rsidRDefault="000C53C2" w:rsidP="009B5ED1">
            <w:pPr>
              <w:jc w:val="center"/>
              <w:rPr>
                <w:sz w:val="22"/>
                <w:szCs w:val="22"/>
              </w:rPr>
            </w:pPr>
            <w:r w:rsidRPr="00AA2347">
              <w:rPr>
                <w:color w:val="000000"/>
                <w:sz w:val="22"/>
                <w:szCs w:val="22"/>
              </w:rPr>
              <w:t>III</w:t>
            </w:r>
          </w:p>
        </w:tc>
        <w:tc>
          <w:tcPr>
            <w:tcW w:w="21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0C53C2" w:rsidRPr="00AA2347" w:rsidRDefault="000C53C2" w:rsidP="009B5ED1">
            <w:pPr>
              <w:jc w:val="center"/>
              <w:rPr>
                <w:sz w:val="22"/>
                <w:szCs w:val="22"/>
              </w:rPr>
            </w:pPr>
            <w:r w:rsidRPr="00AA2347">
              <w:rPr>
                <w:color w:val="000000"/>
                <w:sz w:val="22"/>
                <w:szCs w:val="22"/>
              </w:rPr>
              <w:t>III</w:t>
            </w:r>
          </w:p>
        </w:tc>
        <w:tc>
          <w:tcPr>
            <w:tcW w:w="167"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0C53C2" w:rsidRPr="00AA2347" w:rsidRDefault="000C53C2" w:rsidP="009B5ED1">
            <w:pPr>
              <w:jc w:val="center"/>
              <w:rPr>
                <w:sz w:val="22"/>
                <w:szCs w:val="22"/>
              </w:rPr>
            </w:pPr>
            <w:r w:rsidRPr="00AA2347">
              <w:rPr>
                <w:color w:val="000000"/>
                <w:sz w:val="22"/>
                <w:szCs w:val="22"/>
              </w:rPr>
              <w:t>III</w:t>
            </w:r>
          </w:p>
        </w:tc>
        <w:tc>
          <w:tcPr>
            <w:tcW w:w="167"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0C53C2" w:rsidRPr="00AA2347" w:rsidRDefault="000C53C2" w:rsidP="009B5ED1">
            <w:pPr>
              <w:jc w:val="center"/>
              <w:rPr>
                <w:sz w:val="22"/>
                <w:szCs w:val="22"/>
              </w:rPr>
            </w:pPr>
            <w:r w:rsidRPr="00AA2347">
              <w:rPr>
                <w:color w:val="000000"/>
                <w:sz w:val="22"/>
                <w:szCs w:val="22"/>
              </w:rPr>
              <w:t>III</w:t>
            </w:r>
          </w:p>
        </w:tc>
        <w:tc>
          <w:tcPr>
            <w:tcW w:w="184"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0C53C2" w:rsidRPr="00AA2347" w:rsidRDefault="000C53C2" w:rsidP="009B5ED1">
            <w:pPr>
              <w:jc w:val="center"/>
              <w:rPr>
                <w:sz w:val="22"/>
                <w:szCs w:val="22"/>
              </w:rPr>
            </w:pPr>
            <w:r w:rsidRPr="00AA2347">
              <w:rPr>
                <w:color w:val="000000"/>
                <w:sz w:val="22"/>
                <w:szCs w:val="22"/>
              </w:rPr>
              <w:t>III</w:t>
            </w:r>
          </w:p>
        </w:tc>
        <w:tc>
          <w:tcPr>
            <w:tcW w:w="18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C53C2" w:rsidRPr="00AA2347" w:rsidRDefault="000C53C2" w:rsidP="009B5ED1">
            <w:pPr>
              <w:jc w:val="center"/>
              <w:rPr>
                <w:color w:val="000000"/>
                <w:sz w:val="22"/>
                <w:szCs w:val="22"/>
              </w:rPr>
            </w:pPr>
            <w:r w:rsidRPr="00AA2347">
              <w:rPr>
                <w:color w:val="000000"/>
                <w:sz w:val="22"/>
                <w:szCs w:val="22"/>
              </w:rPr>
              <w:t>II</w:t>
            </w:r>
          </w:p>
        </w:tc>
      </w:tr>
      <w:tr w:rsidR="000C53C2" w:rsidRPr="00AA2347" w:rsidTr="009B5ED1">
        <w:trPr>
          <w:cantSplit/>
          <w:trHeight w:val="360"/>
          <w:tblHeader/>
        </w:trPr>
        <w:tc>
          <w:tcPr>
            <w:tcW w:w="189" w:type="pct"/>
            <w:vMerge/>
            <w:tcBorders>
              <w:left w:val="nil"/>
              <w:bottom w:val="single" w:sz="4" w:space="0" w:color="auto"/>
              <w:right w:val="single" w:sz="4" w:space="0" w:color="auto"/>
            </w:tcBorders>
            <w:shd w:val="clear" w:color="auto" w:fill="A6A6A6" w:themeFill="background1" w:themeFillShade="A6"/>
          </w:tcPr>
          <w:p w:rsidR="000C53C2" w:rsidRPr="00AA2347" w:rsidRDefault="000C53C2" w:rsidP="009B5ED1">
            <w:pPr>
              <w:jc w:val="center"/>
              <w:rPr>
                <w:sz w:val="22"/>
                <w:szCs w:val="22"/>
              </w:rPr>
            </w:pPr>
          </w:p>
        </w:tc>
        <w:tc>
          <w:tcPr>
            <w:tcW w:w="167" w:type="pct"/>
            <w:tcBorders>
              <w:right w:val="single" w:sz="4" w:space="0" w:color="auto"/>
            </w:tcBorders>
            <w:shd w:val="clear" w:color="auto" w:fill="auto"/>
            <w:noWrap/>
            <w:vAlign w:val="center"/>
            <w:hideMark/>
          </w:tcPr>
          <w:p w:rsidR="000C53C2" w:rsidRPr="00AA2347" w:rsidRDefault="000C53C2" w:rsidP="009B5ED1">
            <w:pPr>
              <w:jc w:val="center"/>
              <w:rPr>
                <w:sz w:val="22"/>
                <w:szCs w:val="22"/>
              </w:rPr>
            </w:pPr>
            <w:r w:rsidRPr="00AA2347">
              <w:rPr>
                <w:sz w:val="22"/>
                <w:szCs w:val="22"/>
              </w:rPr>
              <w:t>9</w:t>
            </w:r>
          </w:p>
        </w:tc>
        <w:tc>
          <w:tcPr>
            <w:tcW w:w="220"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0C53C2" w:rsidRPr="00AA2347" w:rsidRDefault="000C53C2" w:rsidP="009B5ED1">
            <w:pPr>
              <w:jc w:val="center"/>
              <w:rPr>
                <w:sz w:val="22"/>
                <w:szCs w:val="22"/>
              </w:rPr>
            </w:pPr>
            <w:r w:rsidRPr="00AA2347">
              <w:rPr>
                <w:color w:val="000000"/>
                <w:sz w:val="22"/>
                <w:szCs w:val="22"/>
              </w:rPr>
              <w:t>IVb</w:t>
            </w:r>
          </w:p>
        </w:tc>
        <w:tc>
          <w:tcPr>
            <w:tcW w:w="220"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0C53C2" w:rsidRPr="00AA2347" w:rsidRDefault="000C53C2" w:rsidP="009B5ED1">
            <w:pPr>
              <w:jc w:val="center"/>
              <w:rPr>
                <w:sz w:val="22"/>
                <w:szCs w:val="22"/>
              </w:rPr>
            </w:pPr>
            <w:r w:rsidRPr="00AA2347">
              <w:rPr>
                <w:color w:val="000000"/>
                <w:sz w:val="22"/>
                <w:szCs w:val="22"/>
              </w:rPr>
              <w:t>IVb</w:t>
            </w:r>
          </w:p>
        </w:tc>
        <w:tc>
          <w:tcPr>
            <w:tcW w:w="220"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0C53C2" w:rsidRPr="00AA2347" w:rsidRDefault="000C53C2" w:rsidP="009B5ED1">
            <w:pPr>
              <w:jc w:val="center"/>
              <w:rPr>
                <w:sz w:val="22"/>
                <w:szCs w:val="22"/>
              </w:rPr>
            </w:pPr>
            <w:r w:rsidRPr="00AA2347">
              <w:rPr>
                <w:color w:val="000000"/>
                <w:sz w:val="22"/>
                <w:szCs w:val="22"/>
              </w:rPr>
              <w:t>IVb</w:t>
            </w:r>
          </w:p>
        </w:tc>
        <w:tc>
          <w:tcPr>
            <w:tcW w:w="220"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0C53C2" w:rsidRPr="00AA2347" w:rsidRDefault="000C53C2" w:rsidP="009B5ED1">
            <w:pPr>
              <w:jc w:val="center"/>
              <w:rPr>
                <w:sz w:val="22"/>
                <w:szCs w:val="22"/>
              </w:rPr>
            </w:pPr>
            <w:r w:rsidRPr="00AA2347">
              <w:rPr>
                <w:color w:val="000000"/>
                <w:sz w:val="22"/>
                <w:szCs w:val="22"/>
              </w:rPr>
              <w:t>IVb</w:t>
            </w:r>
          </w:p>
        </w:tc>
        <w:tc>
          <w:tcPr>
            <w:tcW w:w="220"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0C53C2" w:rsidRPr="00AA2347" w:rsidRDefault="000C53C2" w:rsidP="009B5ED1">
            <w:pPr>
              <w:jc w:val="center"/>
              <w:rPr>
                <w:sz w:val="22"/>
                <w:szCs w:val="22"/>
              </w:rPr>
            </w:pPr>
            <w:r w:rsidRPr="00AA2347">
              <w:rPr>
                <w:color w:val="000000"/>
                <w:sz w:val="22"/>
                <w:szCs w:val="22"/>
              </w:rPr>
              <w:t>IVb</w:t>
            </w:r>
          </w:p>
        </w:tc>
        <w:tc>
          <w:tcPr>
            <w:tcW w:w="220"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0C53C2" w:rsidRPr="00AA2347" w:rsidRDefault="000C53C2" w:rsidP="009B5ED1">
            <w:pPr>
              <w:jc w:val="center"/>
              <w:rPr>
                <w:sz w:val="22"/>
                <w:szCs w:val="22"/>
              </w:rPr>
            </w:pPr>
            <w:r w:rsidRPr="00AA2347">
              <w:rPr>
                <w:color w:val="000000"/>
                <w:sz w:val="22"/>
                <w:szCs w:val="22"/>
              </w:rPr>
              <w:t>IVb</w:t>
            </w:r>
          </w:p>
        </w:tc>
        <w:tc>
          <w:tcPr>
            <w:tcW w:w="220"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0C53C2" w:rsidRPr="00AA2347" w:rsidRDefault="000C53C2" w:rsidP="009B5ED1">
            <w:pPr>
              <w:jc w:val="center"/>
              <w:rPr>
                <w:sz w:val="22"/>
                <w:szCs w:val="22"/>
              </w:rPr>
            </w:pPr>
            <w:r w:rsidRPr="00AA2347">
              <w:rPr>
                <w:color w:val="000000"/>
                <w:sz w:val="22"/>
                <w:szCs w:val="22"/>
              </w:rPr>
              <w:t>IVb</w:t>
            </w:r>
          </w:p>
        </w:tc>
        <w:tc>
          <w:tcPr>
            <w:tcW w:w="220"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0C53C2" w:rsidRPr="00AA2347" w:rsidRDefault="000C53C2" w:rsidP="009B5ED1">
            <w:pPr>
              <w:jc w:val="center"/>
              <w:rPr>
                <w:sz w:val="22"/>
                <w:szCs w:val="22"/>
              </w:rPr>
            </w:pPr>
            <w:r w:rsidRPr="00AA2347">
              <w:rPr>
                <w:color w:val="000000"/>
                <w:sz w:val="22"/>
                <w:szCs w:val="22"/>
              </w:rPr>
              <w:t>IVb</w:t>
            </w:r>
          </w:p>
        </w:tc>
        <w:tc>
          <w:tcPr>
            <w:tcW w:w="220"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0C53C2" w:rsidRPr="00AA2347" w:rsidRDefault="000C53C2" w:rsidP="009B5ED1">
            <w:pPr>
              <w:jc w:val="center"/>
              <w:rPr>
                <w:sz w:val="22"/>
                <w:szCs w:val="22"/>
              </w:rPr>
            </w:pPr>
            <w:r w:rsidRPr="00AA2347">
              <w:rPr>
                <w:color w:val="000000"/>
                <w:sz w:val="22"/>
                <w:szCs w:val="22"/>
              </w:rPr>
              <w:t>IVb</w:t>
            </w:r>
          </w:p>
        </w:tc>
        <w:tc>
          <w:tcPr>
            <w:tcW w:w="220"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0C53C2" w:rsidRPr="00AA2347" w:rsidRDefault="000C53C2" w:rsidP="009B5ED1">
            <w:pPr>
              <w:jc w:val="center"/>
              <w:rPr>
                <w:sz w:val="22"/>
                <w:szCs w:val="22"/>
              </w:rPr>
            </w:pPr>
            <w:r w:rsidRPr="00AA2347">
              <w:rPr>
                <w:color w:val="000000"/>
                <w:sz w:val="22"/>
                <w:szCs w:val="22"/>
              </w:rPr>
              <w:t>IVb</w:t>
            </w:r>
          </w:p>
        </w:tc>
        <w:tc>
          <w:tcPr>
            <w:tcW w:w="220"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0C53C2" w:rsidRPr="00AA2347" w:rsidRDefault="000C53C2" w:rsidP="009B5ED1">
            <w:pPr>
              <w:jc w:val="center"/>
              <w:rPr>
                <w:sz w:val="22"/>
                <w:szCs w:val="22"/>
              </w:rPr>
            </w:pPr>
            <w:r w:rsidRPr="00AA2347">
              <w:rPr>
                <w:color w:val="000000"/>
                <w:sz w:val="22"/>
                <w:szCs w:val="22"/>
              </w:rPr>
              <w:t>IVb</w:t>
            </w:r>
          </w:p>
        </w:tc>
        <w:tc>
          <w:tcPr>
            <w:tcW w:w="220"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0C53C2" w:rsidRPr="00AA2347" w:rsidRDefault="000C53C2" w:rsidP="009B5ED1">
            <w:pPr>
              <w:jc w:val="center"/>
              <w:rPr>
                <w:sz w:val="22"/>
                <w:szCs w:val="22"/>
              </w:rPr>
            </w:pPr>
            <w:r w:rsidRPr="00AA2347">
              <w:rPr>
                <w:color w:val="000000"/>
                <w:sz w:val="22"/>
                <w:szCs w:val="22"/>
              </w:rPr>
              <w:t>IVa</w:t>
            </w:r>
          </w:p>
        </w:tc>
        <w:tc>
          <w:tcPr>
            <w:tcW w:w="220"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0C53C2" w:rsidRPr="00AA2347" w:rsidRDefault="000C53C2" w:rsidP="009B5ED1">
            <w:pPr>
              <w:jc w:val="center"/>
              <w:rPr>
                <w:sz w:val="22"/>
                <w:szCs w:val="22"/>
              </w:rPr>
            </w:pPr>
            <w:r w:rsidRPr="00AA2347">
              <w:rPr>
                <w:color w:val="000000"/>
                <w:sz w:val="22"/>
                <w:szCs w:val="22"/>
              </w:rPr>
              <w:t>IVa</w:t>
            </w:r>
          </w:p>
        </w:tc>
        <w:tc>
          <w:tcPr>
            <w:tcW w:w="216"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0C53C2" w:rsidRPr="00AA2347" w:rsidRDefault="000C53C2" w:rsidP="009B5ED1">
            <w:pPr>
              <w:jc w:val="center"/>
              <w:rPr>
                <w:sz w:val="22"/>
                <w:szCs w:val="22"/>
              </w:rPr>
            </w:pPr>
            <w:r w:rsidRPr="00AA2347">
              <w:rPr>
                <w:color w:val="000000"/>
                <w:sz w:val="22"/>
                <w:szCs w:val="22"/>
              </w:rPr>
              <w:t>IVa</w:t>
            </w:r>
          </w:p>
        </w:tc>
        <w:tc>
          <w:tcPr>
            <w:tcW w:w="216"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0C53C2" w:rsidRPr="00AA2347" w:rsidRDefault="000C53C2" w:rsidP="009B5ED1">
            <w:pPr>
              <w:jc w:val="center"/>
              <w:rPr>
                <w:sz w:val="22"/>
                <w:szCs w:val="22"/>
              </w:rPr>
            </w:pPr>
            <w:r w:rsidRPr="00AA2347">
              <w:rPr>
                <w:color w:val="000000"/>
                <w:sz w:val="22"/>
                <w:szCs w:val="22"/>
              </w:rPr>
              <w:t>IVa</w:t>
            </w:r>
          </w:p>
        </w:tc>
        <w:tc>
          <w:tcPr>
            <w:tcW w:w="216"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0C53C2" w:rsidRPr="00AA2347" w:rsidRDefault="000C53C2" w:rsidP="009B5ED1">
            <w:pPr>
              <w:jc w:val="center"/>
              <w:rPr>
                <w:sz w:val="22"/>
                <w:szCs w:val="22"/>
              </w:rPr>
            </w:pPr>
            <w:r w:rsidRPr="00AA2347">
              <w:rPr>
                <w:color w:val="000000"/>
                <w:sz w:val="22"/>
                <w:szCs w:val="22"/>
              </w:rPr>
              <w:t>IVa</w:t>
            </w:r>
          </w:p>
        </w:tc>
        <w:tc>
          <w:tcPr>
            <w:tcW w:w="21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0C53C2" w:rsidRPr="00AA2347" w:rsidRDefault="000C53C2" w:rsidP="009B5ED1">
            <w:pPr>
              <w:jc w:val="center"/>
              <w:rPr>
                <w:sz w:val="22"/>
                <w:szCs w:val="22"/>
              </w:rPr>
            </w:pPr>
            <w:r w:rsidRPr="00AA2347">
              <w:rPr>
                <w:color w:val="000000"/>
                <w:sz w:val="22"/>
                <w:szCs w:val="22"/>
              </w:rPr>
              <w:t>III</w:t>
            </w:r>
          </w:p>
        </w:tc>
        <w:tc>
          <w:tcPr>
            <w:tcW w:w="21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0C53C2" w:rsidRPr="00AA2347" w:rsidRDefault="000C53C2" w:rsidP="009B5ED1">
            <w:pPr>
              <w:jc w:val="center"/>
              <w:rPr>
                <w:sz w:val="22"/>
                <w:szCs w:val="22"/>
              </w:rPr>
            </w:pPr>
            <w:r w:rsidRPr="00AA2347">
              <w:rPr>
                <w:color w:val="000000"/>
                <w:sz w:val="22"/>
                <w:szCs w:val="22"/>
              </w:rPr>
              <w:t>III</w:t>
            </w:r>
          </w:p>
        </w:tc>
        <w:tc>
          <w:tcPr>
            <w:tcW w:w="167"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0C53C2" w:rsidRPr="00AA2347" w:rsidRDefault="000C53C2" w:rsidP="009B5ED1">
            <w:pPr>
              <w:jc w:val="center"/>
              <w:rPr>
                <w:sz w:val="22"/>
                <w:szCs w:val="22"/>
              </w:rPr>
            </w:pPr>
            <w:r w:rsidRPr="00AA2347">
              <w:rPr>
                <w:color w:val="000000"/>
                <w:sz w:val="22"/>
                <w:szCs w:val="22"/>
              </w:rPr>
              <w:t>III</w:t>
            </w:r>
          </w:p>
        </w:tc>
        <w:tc>
          <w:tcPr>
            <w:tcW w:w="167"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0C53C2" w:rsidRPr="00AA2347" w:rsidRDefault="000C53C2" w:rsidP="009B5ED1">
            <w:pPr>
              <w:jc w:val="center"/>
              <w:rPr>
                <w:sz w:val="22"/>
                <w:szCs w:val="22"/>
              </w:rPr>
            </w:pPr>
            <w:r w:rsidRPr="00AA2347">
              <w:rPr>
                <w:color w:val="000000"/>
                <w:sz w:val="22"/>
                <w:szCs w:val="22"/>
              </w:rPr>
              <w:t>III</w:t>
            </w:r>
          </w:p>
        </w:tc>
        <w:tc>
          <w:tcPr>
            <w:tcW w:w="184"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0C53C2" w:rsidRPr="00AA2347" w:rsidRDefault="000C53C2" w:rsidP="009B5ED1">
            <w:pPr>
              <w:jc w:val="center"/>
              <w:rPr>
                <w:sz w:val="22"/>
                <w:szCs w:val="22"/>
              </w:rPr>
            </w:pPr>
            <w:r w:rsidRPr="00AA2347">
              <w:rPr>
                <w:color w:val="000000"/>
                <w:sz w:val="22"/>
                <w:szCs w:val="22"/>
              </w:rPr>
              <w:t>III</w:t>
            </w:r>
          </w:p>
        </w:tc>
        <w:tc>
          <w:tcPr>
            <w:tcW w:w="1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C53C2" w:rsidRPr="00AA2347" w:rsidRDefault="000C53C2" w:rsidP="009B5ED1">
            <w:pPr>
              <w:jc w:val="center"/>
              <w:rPr>
                <w:color w:val="000000"/>
                <w:sz w:val="22"/>
                <w:szCs w:val="22"/>
              </w:rPr>
            </w:pPr>
            <w:r w:rsidRPr="00AA2347">
              <w:rPr>
                <w:color w:val="000000"/>
                <w:sz w:val="22"/>
                <w:szCs w:val="22"/>
              </w:rPr>
              <w:t>III</w:t>
            </w:r>
          </w:p>
        </w:tc>
      </w:tr>
      <w:tr w:rsidR="000C53C2" w:rsidRPr="00AA2347" w:rsidTr="009B5ED1">
        <w:trPr>
          <w:cantSplit/>
          <w:trHeight w:val="360"/>
          <w:tblHeader/>
        </w:trPr>
        <w:tc>
          <w:tcPr>
            <w:tcW w:w="189" w:type="pct"/>
            <w:vMerge/>
            <w:tcBorders>
              <w:left w:val="nil"/>
              <w:bottom w:val="single" w:sz="4" w:space="0" w:color="auto"/>
              <w:right w:val="single" w:sz="4" w:space="0" w:color="auto"/>
            </w:tcBorders>
            <w:shd w:val="clear" w:color="auto" w:fill="A6A6A6" w:themeFill="background1" w:themeFillShade="A6"/>
          </w:tcPr>
          <w:p w:rsidR="000C53C2" w:rsidRPr="00AA2347" w:rsidRDefault="000C53C2" w:rsidP="009B5ED1">
            <w:pPr>
              <w:jc w:val="center"/>
              <w:rPr>
                <w:sz w:val="22"/>
                <w:szCs w:val="22"/>
              </w:rPr>
            </w:pPr>
          </w:p>
        </w:tc>
        <w:tc>
          <w:tcPr>
            <w:tcW w:w="167" w:type="pct"/>
            <w:tcBorders>
              <w:right w:val="single" w:sz="4" w:space="0" w:color="auto"/>
            </w:tcBorders>
            <w:shd w:val="clear" w:color="auto" w:fill="auto"/>
            <w:noWrap/>
            <w:vAlign w:val="center"/>
            <w:hideMark/>
          </w:tcPr>
          <w:p w:rsidR="000C53C2" w:rsidRPr="00AA2347" w:rsidRDefault="000C53C2" w:rsidP="009B5ED1">
            <w:pPr>
              <w:jc w:val="center"/>
              <w:rPr>
                <w:sz w:val="22"/>
                <w:szCs w:val="22"/>
              </w:rPr>
            </w:pPr>
            <w:r w:rsidRPr="00AA2347">
              <w:rPr>
                <w:sz w:val="22"/>
                <w:szCs w:val="22"/>
              </w:rPr>
              <w:t>10</w:t>
            </w:r>
          </w:p>
        </w:tc>
        <w:tc>
          <w:tcPr>
            <w:tcW w:w="220"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0C53C2" w:rsidRPr="00AA2347" w:rsidRDefault="000C53C2" w:rsidP="009B5ED1">
            <w:pPr>
              <w:jc w:val="center"/>
              <w:rPr>
                <w:sz w:val="22"/>
                <w:szCs w:val="22"/>
              </w:rPr>
            </w:pPr>
            <w:r w:rsidRPr="00AA2347">
              <w:rPr>
                <w:color w:val="000000"/>
                <w:sz w:val="22"/>
                <w:szCs w:val="22"/>
              </w:rPr>
              <w:t>IVb</w:t>
            </w:r>
          </w:p>
        </w:tc>
        <w:tc>
          <w:tcPr>
            <w:tcW w:w="220"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0C53C2" w:rsidRPr="00AA2347" w:rsidRDefault="000C53C2" w:rsidP="009B5ED1">
            <w:pPr>
              <w:jc w:val="center"/>
              <w:rPr>
                <w:sz w:val="22"/>
                <w:szCs w:val="22"/>
              </w:rPr>
            </w:pPr>
            <w:r w:rsidRPr="00AA2347">
              <w:rPr>
                <w:color w:val="000000"/>
                <w:sz w:val="22"/>
                <w:szCs w:val="22"/>
              </w:rPr>
              <w:t>IVb</w:t>
            </w:r>
          </w:p>
        </w:tc>
        <w:tc>
          <w:tcPr>
            <w:tcW w:w="220"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0C53C2" w:rsidRPr="00AA2347" w:rsidRDefault="000C53C2" w:rsidP="009B5ED1">
            <w:pPr>
              <w:jc w:val="center"/>
              <w:rPr>
                <w:sz w:val="22"/>
                <w:szCs w:val="22"/>
              </w:rPr>
            </w:pPr>
            <w:r w:rsidRPr="00AA2347">
              <w:rPr>
                <w:color w:val="000000"/>
                <w:sz w:val="22"/>
                <w:szCs w:val="22"/>
              </w:rPr>
              <w:t>IVb</w:t>
            </w:r>
          </w:p>
        </w:tc>
        <w:tc>
          <w:tcPr>
            <w:tcW w:w="220"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0C53C2" w:rsidRPr="00AA2347" w:rsidRDefault="000C53C2" w:rsidP="009B5ED1">
            <w:pPr>
              <w:jc w:val="center"/>
              <w:rPr>
                <w:sz w:val="22"/>
                <w:szCs w:val="22"/>
              </w:rPr>
            </w:pPr>
            <w:r w:rsidRPr="00AA2347">
              <w:rPr>
                <w:color w:val="000000"/>
                <w:sz w:val="22"/>
                <w:szCs w:val="22"/>
              </w:rPr>
              <w:t>IVb</w:t>
            </w:r>
          </w:p>
        </w:tc>
        <w:tc>
          <w:tcPr>
            <w:tcW w:w="220"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0C53C2" w:rsidRPr="00AA2347" w:rsidRDefault="000C53C2" w:rsidP="009B5ED1">
            <w:pPr>
              <w:jc w:val="center"/>
              <w:rPr>
                <w:sz w:val="22"/>
                <w:szCs w:val="22"/>
              </w:rPr>
            </w:pPr>
            <w:r w:rsidRPr="00AA2347">
              <w:rPr>
                <w:color w:val="000000"/>
                <w:sz w:val="22"/>
                <w:szCs w:val="22"/>
              </w:rPr>
              <w:t>IVb</w:t>
            </w:r>
          </w:p>
        </w:tc>
        <w:tc>
          <w:tcPr>
            <w:tcW w:w="220"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0C53C2" w:rsidRPr="00AA2347" w:rsidRDefault="000C53C2" w:rsidP="009B5ED1">
            <w:pPr>
              <w:jc w:val="center"/>
              <w:rPr>
                <w:sz w:val="22"/>
                <w:szCs w:val="22"/>
              </w:rPr>
            </w:pPr>
            <w:r w:rsidRPr="00AA2347">
              <w:rPr>
                <w:color w:val="000000"/>
                <w:sz w:val="22"/>
                <w:szCs w:val="22"/>
              </w:rPr>
              <w:t>IVb</w:t>
            </w:r>
          </w:p>
        </w:tc>
        <w:tc>
          <w:tcPr>
            <w:tcW w:w="220"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0C53C2" w:rsidRPr="00AA2347" w:rsidRDefault="000C53C2" w:rsidP="009B5ED1">
            <w:pPr>
              <w:jc w:val="center"/>
              <w:rPr>
                <w:sz w:val="22"/>
                <w:szCs w:val="22"/>
              </w:rPr>
            </w:pPr>
            <w:r w:rsidRPr="00AA2347">
              <w:rPr>
                <w:color w:val="000000"/>
                <w:sz w:val="22"/>
                <w:szCs w:val="22"/>
              </w:rPr>
              <w:t>IVb</w:t>
            </w:r>
          </w:p>
        </w:tc>
        <w:tc>
          <w:tcPr>
            <w:tcW w:w="220"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0C53C2" w:rsidRPr="00AA2347" w:rsidRDefault="000C53C2" w:rsidP="009B5ED1">
            <w:pPr>
              <w:jc w:val="center"/>
              <w:rPr>
                <w:sz w:val="22"/>
                <w:szCs w:val="22"/>
              </w:rPr>
            </w:pPr>
            <w:r w:rsidRPr="00AA2347">
              <w:rPr>
                <w:color w:val="000000"/>
                <w:sz w:val="22"/>
                <w:szCs w:val="22"/>
              </w:rPr>
              <w:t>IVb</w:t>
            </w:r>
          </w:p>
        </w:tc>
        <w:tc>
          <w:tcPr>
            <w:tcW w:w="220"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0C53C2" w:rsidRPr="00AA2347" w:rsidRDefault="000C53C2" w:rsidP="009B5ED1">
            <w:pPr>
              <w:jc w:val="center"/>
              <w:rPr>
                <w:sz w:val="22"/>
                <w:szCs w:val="22"/>
              </w:rPr>
            </w:pPr>
            <w:r w:rsidRPr="00AA2347">
              <w:rPr>
                <w:color w:val="000000"/>
                <w:sz w:val="22"/>
                <w:szCs w:val="22"/>
              </w:rPr>
              <w:t>IVb</w:t>
            </w:r>
          </w:p>
        </w:tc>
        <w:tc>
          <w:tcPr>
            <w:tcW w:w="220"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0C53C2" w:rsidRPr="00AA2347" w:rsidRDefault="000C53C2" w:rsidP="009B5ED1">
            <w:pPr>
              <w:jc w:val="center"/>
              <w:rPr>
                <w:sz w:val="22"/>
                <w:szCs w:val="22"/>
              </w:rPr>
            </w:pPr>
            <w:r w:rsidRPr="00AA2347">
              <w:rPr>
                <w:color w:val="000000"/>
                <w:sz w:val="22"/>
                <w:szCs w:val="22"/>
              </w:rPr>
              <w:t>IVb</w:t>
            </w:r>
          </w:p>
        </w:tc>
        <w:tc>
          <w:tcPr>
            <w:tcW w:w="220"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0C53C2" w:rsidRPr="00AA2347" w:rsidRDefault="000C53C2" w:rsidP="009B5ED1">
            <w:pPr>
              <w:jc w:val="center"/>
              <w:rPr>
                <w:sz w:val="22"/>
                <w:szCs w:val="22"/>
              </w:rPr>
            </w:pPr>
            <w:r w:rsidRPr="00AA2347">
              <w:rPr>
                <w:color w:val="000000"/>
                <w:sz w:val="22"/>
                <w:szCs w:val="22"/>
              </w:rPr>
              <w:t>IVb</w:t>
            </w:r>
          </w:p>
        </w:tc>
        <w:tc>
          <w:tcPr>
            <w:tcW w:w="220"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0C53C2" w:rsidRPr="00AA2347" w:rsidRDefault="000C53C2" w:rsidP="009B5ED1">
            <w:pPr>
              <w:jc w:val="center"/>
              <w:rPr>
                <w:sz w:val="22"/>
                <w:szCs w:val="22"/>
              </w:rPr>
            </w:pPr>
            <w:r w:rsidRPr="00AA2347">
              <w:rPr>
                <w:color w:val="000000"/>
                <w:sz w:val="22"/>
                <w:szCs w:val="22"/>
              </w:rPr>
              <w:t>IVb</w:t>
            </w:r>
          </w:p>
        </w:tc>
        <w:tc>
          <w:tcPr>
            <w:tcW w:w="220"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0C53C2" w:rsidRPr="00AA2347" w:rsidRDefault="000C53C2" w:rsidP="009B5ED1">
            <w:pPr>
              <w:jc w:val="center"/>
              <w:rPr>
                <w:sz w:val="22"/>
                <w:szCs w:val="22"/>
              </w:rPr>
            </w:pPr>
            <w:r w:rsidRPr="00AA2347">
              <w:rPr>
                <w:color w:val="000000"/>
                <w:sz w:val="22"/>
                <w:szCs w:val="22"/>
              </w:rPr>
              <w:t>IVb</w:t>
            </w:r>
          </w:p>
        </w:tc>
        <w:tc>
          <w:tcPr>
            <w:tcW w:w="216"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0C53C2" w:rsidRPr="00AA2347" w:rsidRDefault="000C53C2" w:rsidP="009B5ED1">
            <w:pPr>
              <w:jc w:val="center"/>
              <w:rPr>
                <w:color w:val="000000"/>
                <w:sz w:val="22"/>
                <w:szCs w:val="22"/>
              </w:rPr>
            </w:pPr>
            <w:r w:rsidRPr="00AA2347">
              <w:rPr>
                <w:color w:val="000000"/>
                <w:sz w:val="22"/>
                <w:szCs w:val="22"/>
              </w:rPr>
              <w:t>IVa</w:t>
            </w:r>
          </w:p>
        </w:tc>
        <w:tc>
          <w:tcPr>
            <w:tcW w:w="216"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0C53C2" w:rsidRPr="00AA2347" w:rsidRDefault="000C53C2" w:rsidP="009B5ED1">
            <w:pPr>
              <w:jc w:val="center"/>
              <w:rPr>
                <w:sz w:val="22"/>
                <w:szCs w:val="22"/>
              </w:rPr>
            </w:pPr>
            <w:r w:rsidRPr="00AA2347">
              <w:rPr>
                <w:color w:val="000000"/>
                <w:sz w:val="22"/>
                <w:szCs w:val="22"/>
              </w:rPr>
              <w:t>IVa</w:t>
            </w:r>
          </w:p>
        </w:tc>
        <w:tc>
          <w:tcPr>
            <w:tcW w:w="216"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0C53C2" w:rsidRPr="00AA2347" w:rsidRDefault="000C53C2" w:rsidP="009B5ED1">
            <w:pPr>
              <w:jc w:val="center"/>
              <w:rPr>
                <w:color w:val="000000"/>
                <w:sz w:val="22"/>
                <w:szCs w:val="22"/>
              </w:rPr>
            </w:pPr>
            <w:r w:rsidRPr="00AA2347">
              <w:rPr>
                <w:color w:val="000000"/>
                <w:sz w:val="22"/>
                <w:szCs w:val="22"/>
              </w:rPr>
              <w:t>IVa</w:t>
            </w:r>
          </w:p>
        </w:tc>
        <w:tc>
          <w:tcPr>
            <w:tcW w:w="216"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0C53C2" w:rsidRPr="00AA2347" w:rsidRDefault="000C53C2" w:rsidP="009B5ED1">
            <w:pPr>
              <w:jc w:val="center"/>
              <w:rPr>
                <w:color w:val="000000"/>
                <w:sz w:val="22"/>
                <w:szCs w:val="22"/>
              </w:rPr>
            </w:pPr>
            <w:r w:rsidRPr="00AA2347">
              <w:rPr>
                <w:color w:val="000000"/>
                <w:sz w:val="22"/>
                <w:szCs w:val="22"/>
              </w:rPr>
              <w:t>IVa</w:t>
            </w:r>
          </w:p>
        </w:tc>
        <w:tc>
          <w:tcPr>
            <w:tcW w:w="216"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0C53C2" w:rsidRPr="00AA2347" w:rsidRDefault="000C53C2" w:rsidP="009B5ED1">
            <w:pPr>
              <w:jc w:val="center"/>
              <w:rPr>
                <w:sz w:val="22"/>
                <w:szCs w:val="22"/>
              </w:rPr>
            </w:pPr>
            <w:r w:rsidRPr="00AA2347">
              <w:rPr>
                <w:color w:val="000000"/>
                <w:sz w:val="22"/>
                <w:szCs w:val="22"/>
              </w:rPr>
              <w:t>IVa</w:t>
            </w:r>
          </w:p>
        </w:tc>
        <w:tc>
          <w:tcPr>
            <w:tcW w:w="167"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0C53C2" w:rsidRPr="00AA2347" w:rsidRDefault="000C53C2" w:rsidP="009B5ED1">
            <w:pPr>
              <w:jc w:val="center"/>
              <w:rPr>
                <w:sz w:val="22"/>
                <w:szCs w:val="22"/>
              </w:rPr>
            </w:pPr>
            <w:r w:rsidRPr="00AA2347">
              <w:rPr>
                <w:color w:val="000000"/>
                <w:sz w:val="22"/>
                <w:szCs w:val="22"/>
              </w:rPr>
              <w:t>III</w:t>
            </w:r>
          </w:p>
        </w:tc>
        <w:tc>
          <w:tcPr>
            <w:tcW w:w="167"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0C53C2" w:rsidRPr="00AA2347" w:rsidRDefault="000C53C2" w:rsidP="009B5ED1">
            <w:pPr>
              <w:jc w:val="center"/>
              <w:rPr>
                <w:sz w:val="22"/>
                <w:szCs w:val="22"/>
              </w:rPr>
            </w:pPr>
            <w:r w:rsidRPr="00AA2347">
              <w:rPr>
                <w:color w:val="000000"/>
                <w:sz w:val="22"/>
                <w:szCs w:val="22"/>
              </w:rPr>
              <w:t>III</w:t>
            </w:r>
          </w:p>
        </w:tc>
        <w:tc>
          <w:tcPr>
            <w:tcW w:w="184"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0C53C2" w:rsidRPr="00AA2347" w:rsidRDefault="000C53C2" w:rsidP="009B5ED1">
            <w:pPr>
              <w:jc w:val="center"/>
              <w:rPr>
                <w:sz w:val="22"/>
                <w:szCs w:val="22"/>
              </w:rPr>
            </w:pPr>
            <w:r w:rsidRPr="00AA2347">
              <w:rPr>
                <w:color w:val="000000"/>
                <w:sz w:val="22"/>
                <w:szCs w:val="22"/>
              </w:rPr>
              <w:t>III</w:t>
            </w:r>
          </w:p>
        </w:tc>
        <w:tc>
          <w:tcPr>
            <w:tcW w:w="1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C53C2" w:rsidRPr="00AA2347" w:rsidRDefault="000C53C2" w:rsidP="009B5ED1">
            <w:pPr>
              <w:jc w:val="center"/>
              <w:rPr>
                <w:color w:val="000000"/>
                <w:sz w:val="22"/>
                <w:szCs w:val="22"/>
              </w:rPr>
            </w:pPr>
            <w:r w:rsidRPr="00AA2347">
              <w:rPr>
                <w:color w:val="000000"/>
                <w:sz w:val="22"/>
                <w:szCs w:val="22"/>
              </w:rPr>
              <w:t>III</w:t>
            </w:r>
          </w:p>
        </w:tc>
      </w:tr>
    </w:tbl>
    <w:p w:rsidR="000C53C2" w:rsidRPr="00AA2347" w:rsidRDefault="000C53C2" w:rsidP="000C53C2">
      <w:pPr>
        <w:rPr>
          <w:sz w:val="22"/>
          <w:szCs w:val="22"/>
          <w:lang w:val="en-US"/>
        </w:rPr>
      </w:pPr>
    </w:p>
    <w:p w:rsidR="000C53C2" w:rsidRDefault="000C53C2">
      <w:pPr>
        <w:rPr>
          <w:rFonts w:asciiTheme="minorHAnsi" w:hAnsiTheme="minorHAnsi" w:cstheme="minorHAnsi"/>
          <w:sz w:val="22"/>
          <w:szCs w:val="22"/>
          <w:lang w:val="en-US"/>
        </w:rPr>
      </w:pPr>
      <w:r w:rsidRPr="00AA2347">
        <w:rPr>
          <w:sz w:val="22"/>
          <w:szCs w:val="22"/>
          <w:lang w:val="en-US"/>
        </w:rPr>
        <w:t>Note:  According to Model 5 (Table 4), each Static-99R point increases risk by .329 and each year sex offense free decreases risk by .130. Individuals were deemed to have transitioned to a lower risk category when their time-adjusted risk for that year was below the yearly hazard at release for individuals at the top of the next lower category. The figure stops at Static-99R scores of 10 because higher scores were rare:  0.08% had a score of 11 or 12 (6 out of 7,225).</w:t>
      </w:r>
    </w:p>
    <w:sectPr w:rsidR="000C53C2" w:rsidSect="000C53C2">
      <w:headerReference w:type="default" r:id="rId19"/>
      <w:footerReference w:type="default" r:id="rId20"/>
      <w:pgSz w:w="15840" w:h="1224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FC9" w:rsidRDefault="00B32FC9" w:rsidP="00336D2D">
      <w:r>
        <w:separator/>
      </w:r>
    </w:p>
  </w:endnote>
  <w:endnote w:type="continuationSeparator" w:id="0">
    <w:p w:rsidR="00B32FC9" w:rsidRDefault="00B32FC9" w:rsidP="00336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Times New Roman"/>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FC9" w:rsidRDefault="00B32FC9" w:rsidP="00B015A6">
    <w:pPr>
      <w:pStyle w:val="Header"/>
    </w:pPr>
  </w:p>
  <w:p w:rsidR="00B32FC9" w:rsidRDefault="00B32FC9"/>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2052944"/>
      <w:docPartObj>
        <w:docPartGallery w:val="Page Numbers (Bottom of Page)"/>
        <w:docPartUnique/>
      </w:docPartObj>
    </w:sdtPr>
    <w:sdtEndPr>
      <w:rPr>
        <w:noProof/>
      </w:rPr>
    </w:sdtEndPr>
    <w:sdtContent>
      <w:p w:rsidR="00B32FC9" w:rsidRDefault="00B32FC9" w:rsidP="00B015A6">
        <w:pPr>
          <w:pStyle w:val="Header"/>
        </w:pPr>
        <w:r>
          <w:t xml:space="preserve">                                                                                    </w:t>
        </w:r>
        <w:r>
          <w:fldChar w:fldCharType="begin"/>
        </w:r>
        <w:r>
          <w:instrText xml:space="preserve"> PAGE   \* MERGEFORMAT </w:instrText>
        </w:r>
        <w:r>
          <w:fldChar w:fldCharType="separate"/>
        </w:r>
        <w:r w:rsidR="00D97ABD">
          <w:rPr>
            <w:noProof/>
          </w:rPr>
          <w:t>58</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FC9" w:rsidRDefault="00B32FC9" w:rsidP="00336D2D">
      <w:r>
        <w:separator/>
      </w:r>
    </w:p>
  </w:footnote>
  <w:footnote w:type="continuationSeparator" w:id="0">
    <w:p w:rsidR="00B32FC9" w:rsidRDefault="00B32FC9" w:rsidP="00336D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FC9" w:rsidRDefault="00B32FC9" w:rsidP="009B5ED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2FC9" w:rsidRDefault="00B32FC9" w:rsidP="009B5ED1">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FC9" w:rsidRDefault="00B32FC9" w:rsidP="009B5ED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97ABD">
      <w:rPr>
        <w:rStyle w:val="PageNumber"/>
        <w:noProof/>
      </w:rPr>
      <w:t>33</w:t>
    </w:r>
    <w:r>
      <w:rPr>
        <w:rStyle w:val="PageNumber"/>
      </w:rPr>
      <w:fldChar w:fldCharType="end"/>
    </w:r>
  </w:p>
  <w:p w:rsidR="00B32FC9" w:rsidRDefault="00B32FC9" w:rsidP="009B5ED1">
    <w:pPr>
      <w:ind w:right="360"/>
    </w:pPr>
    <w:r>
      <w:t>NOT ALWAYS A SEXUAL OFFENDER</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FC9" w:rsidRPr="003956D0" w:rsidRDefault="00B32FC9">
    <w:pPr>
      <w:pStyle w:val="Header"/>
    </w:pPr>
    <w:r w:rsidRPr="003956D0">
      <w:t>Running Header: NOT ALWAYS A SEXUAL OFFENDER</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FC9" w:rsidRDefault="00B32FC9" w:rsidP="00A03C9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2FC9" w:rsidRDefault="00B32FC9" w:rsidP="00A03C97">
    <w:pPr>
      <w:pStyle w:val="Header"/>
      <w:ind w:right="360"/>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FC9" w:rsidRPr="00B015A6" w:rsidRDefault="00B32FC9" w:rsidP="00B015A6">
    <w:pPr>
      <w:pStyle w:val="Header"/>
      <w:jc w:val="right"/>
      <w:rPr>
        <w:rFonts w:ascii="Verdana" w:hAnsi="Verdana"/>
        <w:sz w:val="20"/>
        <w:szCs w:val="20"/>
      </w:rPr>
    </w:pPr>
    <w:r w:rsidRPr="00B015A6">
      <w:rPr>
        <w:rFonts w:ascii="Verdana" w:hAnsi="Verdana"/>
        <w:sz w:val="20"/>
        <w:szCs w:val="20"/>
      </w:rPr>
      <w:t>Not always a sexual offender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1526CC4C"/>
    <w:lvl w:ilvl="0">
      <w:start w:val="1"/>
      <w:numFmt w:val="decimal"/>
      <w:pStyle w:val="Reference"/>
      <w:lvlText w:val="%1"/>
      <w:lvlJc w:val="left"/>
      <w:pPr>
        <w:tabs>
          <w:tab w:val="num" w:pos="515"/>
        </w:tabs>
        <w:ind w:left="628" w:hanging="340"/>
      </w:pPr>
      <w:rPr>
        <w:rFonts w:hint="default"/>
      </w:rPr>
    </w:lvl>
  </w:abstractNum>
  <w:abstractNum w:abstractNumId="1" w15:restartNumberingAfterBreak="0">
    <w:nsid w:val="0370120C"/>
    <w:multiLevelType w:val="multilevel"/>
    <w:tmpl w:val="098A6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C41AC7"/>
    <w:multiLevelType w:val="multilevel"/>
    <w:tmpl w:val="D9985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0706CA"/>
    <w:multiLevelType w:val="multilevel"/>
    <w:tmpl w:val="2758B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C0745F"/>
    <w:multiLevelType w:val="multilevel"/>
    <w:tmpl w:val="82E88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66241A"/>
    <w:multiLevelType w:val="multilevel"/>
    <w:tmpl w:val="6DDAC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BD1946"/>
    <w:multiLevelType w:val="hybridMultilevel"/>
    <w:tmpl w:val="9A7CFF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0953B72"/>
    <w:multiLevelType w:val="multilevel"/>
    <w:tmpl w:val="A6582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D026B4"/>
    <w:multiLevelType w:val="multilevel"/>
    <w:tmpl w:val="13BE9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9C76D0"/>
    <w:multiLevelType w:val="multilevel"/>
    <w:tmpl w:val="C2BE7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362DA4"/>
    <w:multiLevelType w:val="hybridMultilevel"/>
    <w:tmpl w:val="5FE092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87E07DC"/>
    <w:multiLevelType w:val="hybridMultilevel"/>
    <w:tmpl w:val="6C78C5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28B1394"/>
    <w:multiLevelType w:val="multilevel"/>
    <w:tmpl w:val="87764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7648EC"/>
    <w:multiLevelType w:val="multilevel"/>
    <w:tmpl w:val="B994E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2F072C"/>
    <w:multiLevelType w:val="multilevel"/>
    <w:tmpl w:val="82A68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36271A"/>
    <w:multiLevelType w:val="multilevel"/>
    <w:tmpl w:val="AE08D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6822E3"/>
    <w:multiLevelType w:val="hybridMultilevel"/>
    <w:tmpl w:val="C722DB6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A4A22CE"/>
    <w:multiLevelType w:val="multilevel"/>
    <w:tmpl w:val="CE869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671BBF"/>
    <w:multiLevelType w:val="multilevel"/>
    <w:tmpl w:val="5240C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8E061B"/>
    <w:multiLevelType w:val="multilevel"/>
    <w:tmpl w:val="F348C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1E5B73"/>
    <w:multiLevelType w:val="multilevel"/>
    <w:tmpl w:val="341A4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B20672"/>
    <w:multiLevelType w:val="multilevel"/>
    <w:tmpl w:val="C7A23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8A1F83"/>
    <w:multiLevelType w:val="multilevel"/>
    <w:tmpl w:val="55BEB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BD1EF4"/>
    <w:multiLevelType w:val="multilevel"/>
    <w:tmpl w:val="7C2AF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10"/>
  </w:num>
  <w:num w:numId="8">
    <w:abstractNumId w:val="11"/>
  </w:num>
  <w:num w:numId="9">
    <w:abstractNumId w:val="16"/>
  </w:num>
  <w:num w:numId="10">
    <w:abstractNumId w:val="4"/>
  </w:num>
  <w:num w:numId="11">
    <w:abstractNumId w:val="23"/>
  </w:num>
  <w:num w:numId="12">
    <w:abstractNumId w:val="5"/>
  </w:num>
  <w:num w:numId="13">
    <w:abstractNumId w:val="18"/>
  </w:num>
  <w:num w:numId="14">
    <w:abstractNumId w:val="7"/>
  </w:num>
  <w:num w:numId="15">
    <w:abstractNumId w:val="22"/>
  </w:num>
  <w:num w:numId="16">
    <w:abstractNumId w:val="3"/>
  </w:num>
  <w:num w:numId="17">
    <w:abstractNumId w:val="15"/>
  </w:num>
  <w:num w:numId="18">
    <w:abstractNumId w:val="2"/>
  </w:num>
  <w:num w:numId="19">
    <w:abstractNumId w:val="14"/>
  </w:num>
  <w:num w:numId="20">
    <w:abstractNumId w:val="12"/>
  </w:num>
  <w:num w:numId="21">
    <w:abstractNumId w:val="9"/>
  </w:num>
  <w:num w:numId="22">
    <w:abstractNumId w:val="19"/>
  </w:num>
  <w:num w:numId="23">
    <w:abstractNumId w:val="1"/>
  </w:num>
  <w:num w:numId="24">
    <w:abstractNumId w:val="20"/>
  </w:num>
  <w:num w:numId="25">
    <w:abstractNumId w:val="21"/>
  </w:num>
  <w:num w:numId="26">
    <w:abstractNumId w:val="17"/>
  </w:num>
  <w:num w:numId="27">
    <w:abstractNumId w:val="13"/>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A6C"/>
    <w:rsid w:val="00000A14"/>
    <w:rsid w:val="00002406"/>
    <w:rsid w:val="00005B6C"/>
    <w:rsid w:val="0001432B"/>
    <w:rsid w:val="0001596A"/>
    <w:rsid w:val="00026140"/>
    <w:rsid w:val="00043154"/>
    <w:rsid w:val="00044BE9"/>
    <w:rsid w:val="00046F53"/>
    <w:rsid w:val="00046F5C"/>
    <w:rsid w:val="00054477"/>
    <w:rsid w:val="000563C7"/>
    <w:rsid w:val="00057BF3"/>
    <w:rsid w:val="00057DA6"/>
    <w:rsid w:val="00077153"/>
    <w:rsid w:val="000821E3"/>
    <w:rsid w:val="00083EA5"/>
    <w:rsid w:val="000A20DC"/>
    <w:rsid w:val="000A29F4"/>
    <w:rsid w:val="000A2ECE"/>
    <w:rsid w:val="000A62C1"/>
    <w:rsid w:val="000A726E"/>
    <w:rsid w:val="000B18EC"/>
    <w:rsid w:val="000C46D0"/>
    <w:rsid w:val="000C53C2"/>
    <w:rsid w:val="000C54CC"/>
    <w:rsid w:val="000D33C0"/>
    <w:rsid w:val="000D7DC0"/>
    <w:rsid w:val="000E3C24"/>
    <w:rsid w:val="000E50DA"/>
    <w:rsid w:val="000F1ECE"/>
    <w:rsid w:val="000F7978"/>
    <w:rsid w:val="00100276"/>
    <w:rsid w:val="001015CE"/>
    <w:rsid w:val="00105C2E"/>
    <w:rsid w:val="00113447"/>
    <w:rsid w:val="0011361B"/>
    <w:rsid w:val="00114851"/>
    <w:rsid w:val="0013761F"/>
    <w:rsid w:val="00142088"/>
    <w:rsid w:val="00152AE2"/>
    <w:rsid w:val="00155254"/>
    <w:rsid w:val="001552B6"/>
    <w:rsid w:val="001564E2"/>
    <w:rsid w:val="00157564"/>
    <w:rsid w:val="0016581D"/>
    <w:rsid w:val="00165FD6"/>
    <w:rsid w:val="001709E7"/>
    <w:rsid w:val="001730A3"/>
    <w:rsid w:val="00175743"/>
    <w:rsid w:val="00176EFD"/>
    <w:rsid w:val="00177418"/>
    <w:rsid w:val="00185845"/>
    <w:rsid w:val="001949BF"/>
    <w:rsid w:val="00196974"/>
    <w:rsid w:val="00196EE8"/>
    <w:rsid w:val="0019703A"/>
    <w:rsid w:val="00197E8C"/>
    <w:rsid w:val="001A189F"/>
    <w:rsid w:val="001A44A2"/>
    <w:rsid w:val="001B09D7"/>
    <w:rsid w:val="001B22FD"/>
    <w:rsid w:val="001B4B7D"/>
    <w:rsid w:val="001C0614"/>
    <w:rsid w:val="001C0963"/>
    <w:rsid w:val="001C12DB"/>
    <w:rsid w:val="001C13A7"/>
    <w:rsid w:val="001C151B"/>
    <w:rsid w:val="001C40ED"/>
    <w:rsid w:val="001C5D5A"/>
    <w:rsid w:val="001D0D8D"/>
    <w:rsid w:val="001E130D"/>
    <w:rsid w:val="001E3521"/>
    <w:rsid w:val="001E3A45"/>
    <w:rsid w:val="001E3ED3"/>
    <w:rsid w:val="001E5D4A"/>
    <w:rsid w:val="001E7599"/>
    <w:rsid w:val="001F1C67"/>
    <w:rsid w:val="001F5A2E"/>
    <w:rsid w:val="00203806"/>
    <w:rsid w:val="00206EB2"/>
    <w:rsid w:val="00207E69"/>
    <w:rsid w:val="00211861"/>
    <w:rsid w:val="00211E70"/>
    <w:rsid w:val="00212100"/>
    <w:rsid w:val="00222D05"/>
    <w:rsid w:val="0022574D"/>
    <w:rsid w:val="00231186"/>
    <w:rsid w:val="0023121A"/>
    <w:rsid w:val="0023371A"/>
    <w:rsid w:val="00240B72"/>
    <w:rsid w:val="00250AAC"/>
    <w:rsid w:val="00250E96"/>
    <w:rsid w:val="00261959"/>
    <w:rsid w:val="00261ACA"/>
    <w:rsid w:val="00264651"/>
    <w:rsid w:val="00276BFB"/>
    <w:rsid w:val="00280838"/>
    <w:rsid w:val="0028229D"/>
    <w:rsid w:val="00284173"/>
    <w:rsid w:val="00291213"/>
    <w:rsid w:val="00294796"/>
    <w:rsid w:val="002970F6"/>
    <w:rsid w:val="002A17F9"/>
    <w:rsid w:val="002A3966"/>
    <w:rsid w:val="002D1BDB"/>
    <w:rsid w:val="002E431D"/>
    <w:rsid w:val="002F0953"/>
    <w:rsid w:val="00304CD9"/>
    <w:rsid w:val="00306F9A"/>
    <w:rsid w:val="00323396"/>
    <w:rsid w:val="00324678"/>
    <w:rsid w:val="00334465"/>
    <w:rsid w:val="00336D2D"/>
    <w:rsid w:val="00351E5F"/>
    <w:rsid w:val="003537D8"/>
    <w:rsid w:val="003606F2"/>
    <w:rsid w:val="00362811"/>
    <w:rsid w:val="0036382C"/>
    <w:rsid w:val="00370CC9"/>
    <w:rsid w:val="00371D1C"/>
    <w:rsid w:val="003775DB"/>
    <w:rsid w:val="00377B92"/>
    <w:rsid w:val="00377DFE"/>
    <w:rsid w:val="00380EC1"/>
    <w:rsid w:val="00381188"/>
    <w:rsid w:val="003820DE"/>
    <w:rsid w:val="003867EE"/>
    <w:rsid w:val="00390BCF"/>
    <w:rsid w:val="00395C1A"/>
    <w:rsid w:val="0039649A"/>
    <w:rsid w:val="00397BD1"/>
    <w:rsid w:val="003A02A9"/>
    <w:rsid w:val="003A391C"/>
    <w:rsid w:val="003A504C"/>
    <w:rsid w:val="003A519A"/>
    <w:rsid w:val="003A654A"/>
    <w:rsid w:val="003B26A1"/>
    <w:rsid w:val="003B6555"/>
    <w:rsid w:val="003B7E75"/>
    <w:rsid w:val="003C23B2"/>
    <w:rsid w:val="003C302C"/>
    <w:rsid w:val="003C4019"/>
    <w:rsid w:val="003D3242"/>
    <w:rsid w:val="003D3EF2"/>
    <w:rsid w:val="003D5BF0"/>
    <w:rsid w:val="003D5DCE"/>
    <w:rsid w:val="003E651F"/>
    <w:rsid w:val="003E729C"/>
    <w:rsid w:val="003F3529"/>
    <w:rsid w:val="00400D8A"/>
    <w:rsid w:val="004028F5"/>
    <w:rsid w:val="00405F09"/>
    <w:rsid w:val="00414EDC"/>
    <w:rsid w:val="004226AC"/>
    <w:rsid w:val="00426117"/>
    <w:rsid w:val="00426C70"/>
    <w:rsid w:val="00430B2E"/>
    <w:rsid w:val="00430D16"/>
    <w:rsid w:val="0043178B"/>
    <w:rsid w:val="00433B02"/>
    <w:rsid w:val="00435929"/>
    <w:rsid w:val="0044120F"/>
    <w:rsid w:val="00452511"/>
    <w:rsid w:val="00453469"/>
    <w:rsid w:val="004539E2"/>
    <w:rsid w:val="0046088A"/>
    <w:rsid w:val="00460F62"/>
    <w:rsid w:val="00464CAA"/>
    <w:rsid w:val="00465A31"/>
    <w:rsid w:val="004677F7"/>
    <w:rsid w:val="004718E0"/>
    <w:rsid w:val="00475B57"/>
    <w:rsid w:val="004831B5"/>
    <w:rsid w:val="004874BE"/>
    <w:rsid w:val="004945E6"/>
    <w:rsid w:val="004A0768"/>
    <w:rsid w:val="004A6475"/>
    <w:rsid w:val="004A6C9E"/>
    <w:rsid w:val="004A7C80"/>
    <w:rsid w:val="004B02D0"/>
    <w:rsid w:val="004B09C4"/>
    <w:rsid w:val="004B17EF"/>
    <w:rsid w:val="004B5853"/>
    <w:rsid w:val="004B708D"/>
    <w:rsid w:val="004C213F"/>
    <w:rsid w:val="004C740B"/>
    <w:rsid w:val="004D084C"/>
    <w:rsid w:val="004D09E5"/>
    <w:rsid w:val="004E4821"/>
    <w:rsid w:val="004E5220"/>
    <w:rsid w:val="004F4342"/>
    <w:rsid w:val="004F6AA4"/>
    <w:rsid w:val="004F7AD7"/>
    <w:rsid w:val="00507373"/>
    <w:rsid w:val="00513846"/>
    <w:rsid w:val="00515000"/>
    <w:rsid w:val="00515286"/>
    <w:rsid w:val="0051729F"/>
    <w:rsid w:val="00517940"/>
    <w:rsid w:val="00520B09"/>
    <w:rsid w:val="005249A4"/>
    <w:rsid w:val="005325A5"/>
    <w:rsid w:val="00533B6F"/>
    <w:rsid w:val="005344D8"/>
    <w:rsid w:val="00536706"/>
    <w:rsid w:val="00536A44"/>
    <w:rsid w:val="00541CCD"/>
    <w:rsid w:val="005424E1"/>
    <w:rsid w:val="00552347"/>
    <w:rsid w:val="0055330F"/>
    <w:rsid w:val="00555B56"/>
    <w:rsid w:val="0055683E"/>
    <w:rsid w:val="0056058D"/>
    <w:rsid w:val="005636B5"/>
    <w:rsid w:val="00564801"/>
    <w:rsid w:val="00564F63"/>
    <w:rsid w:val="005655AE"/>
    <w:rsid w:val="00567CB9"/>
    <w:rsid w:val="00574459"/>
    <w:rsid w:val="00582D05"/>
    <w:rsid w:val="0058677C"/>
    <w:rsid w:val="00590528"/>
    <w:rsid w:val="005974CF"/>
    <w:rsid w:val="005A1747"/>
    <w:rsid w:val="005A52B8"/>
    <w:rsid w:val="005A6820"/>
    <w:rsid w:val="005B1B7C"/>
    <w:rsid w:val="005B303F"/>
    <w:rsid w:val="005B7FEF"/>
    <w:rsid w:val="005D34C8"/>
    <w:rsid w:val="005D588F"/>
    <w:rsid w:val="005E1F8A"/>
    <w:rsid w:val="005E5C6C"/>
    <w:rsid w:val="005F0BFD"/>
    <w:rsid w:val="005F5EC1"/>
    <w:rsid w:val="005F691D"/>
    <w:rsid w:val="00605C27"/>
    <w:rsid w:val="006112C0"/>
    <w:rsid w:val="00611D85"/>
    <w:rsid w:val="00614B4B"/>
    <w:rsid w:val="00620717"/>
    <w:rsid w:val="006269E7"/>
    <w:rsid w:val="006406B1"/>
    <w:rsid w:val="00640DF5"/>
    <w:rsid w:val="00643F9C"/>
    <w:rsid w:val="0064689B"/>
    <w:rsid w:val="00646F9F"/>
    <w:rsid w:val="006513A6"/>
    <w:rsid w:val="00651752"/>
    <w:rsid w:val="00656F34"/>
    <w:rsid w:val="006614FB"/>
    <w:rsid w:val="00663D1C"/>
    <w:rsid w:val="006676FE"/>
    <w:rsid w:val="00673AD5"/>
    <w:rsid w:val="00682B70"/>
    <w:rsid w:val="00684D99"/>
    <w:rsid w:val="0068598F"/>
    <w:rsid w:val="006866E3"/>
    <w:rsid w:val="00694F36"/>
    <w:rsid w:val="006A6997"/>
    <w:rsid w:val="006A6D8C"/>
    <w:rsid w:val="006A73FC"/>
    <w:rsid w:val="006B2C2F"/>
    <w:rsid w:val="006C09F1"/>
    <w:rsid w:val="006C6D9D"/>
    <w:rsid w:val="006D0B30"/>
    <w:rsid w:val="006D592C"/>
    <w:rsid w:val="006D6963"/>
    <w:rsid w:val="006D745C"/>
    <w:rsid w:val="006D75F0"/>
    <w:rsid w:val="006E20C3"/>
    <w:rsid w:val="006E28F5"/>
    <w:rsid w:val="006E4F02"/>
    <w:rsid w:val="006F2C4E"/>
    <w:rsid w:val="0070075D"/>
    <w:rsid w:val="0070129D"/>
    <w:rsid w:val="00706EAD"/>
    <w:rsid w:val="0071624D"/>
    <w:rsid w:val="00732CD6"/>
    <w:rsid w:val="00734C9A"/>
    <w:rsid w:val="00736F2B"/>
    <w:rsid w:val="00755652"/>
    <w:rsid w:val="00755860"/>
    <w:rsid w:val="00773FA0"/>
    <w:rsid w:val="00776F61"/>
    <w:rsid w:val="007821BD"/>
    <w:rsid w:val="0079284B"/>
    <w:rsid w:val="0079556D"/>
    <w:rsid w:val="007A3732"/>
    <w:rsid w:val="007B7120"/>
    <w:rsid w:val="007C177B"/>
    <w:rsid w:val="007C78B9"/>
    <w:rsid w:val="007D579E"/>
    <w:rsid w:val="007D748E"/>
    <w:rsid w:val="007E0A15"/>
    <w:rsid w:val="007E2CEE"/>
    <w:rsid w:val="007E32DE"/>
    <w:rsid w:val="007E5434"/>
    <w:rsid w:val="007E61AD"/>
    <w:rsid w:val="007E6F48"/>
    <w:rsid w:val="00801F02"/>
    <w:rsid w:val="00803512"/>
    <w:rsid w:val="00812DB5"/>
    <w:rsid w:val="008150FF"/>
    <w:rsid w:val="0081625C"/>
    <w:rsid w:val="0081676F"/>
    <w:rsid w:val="008245CA"/>
    <w:rsid w:val="00824CE1"/>
    <w:rsid w:val="00826C5D"/>
    <w:rsid w:val="0083535E"/>
    <w:rsid w:val="00840E18"/>
    <w:rsid w:val="00843468"/>
    <w:rsid w:val="00847796"/>
    <w:rsid w:val="008524C1"/>
    <w:rsid w:val="0086214F"/>
    <w:rsid w:val="008673EF"/>
    <w:rsid w:val="008705C3"/>
    <w:rsid w:val="00880ED7"/>
    <w:rsid w:val="0088178D"/>
    <w:rsid w:val="0088314E"/>
    <w:rsid w:val="008853E3"/>
    <w:rsid w:val="00891725"/>
    <w:rsid w:val="008A0502"/>
    <w:rsid w:val="008A0A18"/>
    <w:rsid w:val="008A26CD"/>
    <w:rsid w:val="008A4E49"/>
    <w:rsid w:val="008A579D"/>
    <w:rsid w:val="008B057D"/>
    <w:rsid w:val="008B1CAB"/>
    <w:rsid w:val="008C6166"/>
    <w:rsid w:val="008C6D81"/>
    <w:rsid w:val="008C7C8E"/>
    <w:rsid w:val="008D2949"/>
    <w:rsid w:val="008E5001"/>
    <w:rsid w:val="00900F6F"/>
    <w:rsid w:val="00901AF5"/>
    <w:rsid w:val="00903C1F"/>
    <w:rsid w:val="00913DA4"/>
    <w:rsid w:val="00917121"/>
    <w:rsid w:val="00921E1B"/>
    <w:rsid w:val="00923156"/>
    <w:rsid w:val="00924921"/>
    <w:rsid w:val="009270A0"/>
    <w:rsid w:val="009271A0"/>
    <w:rsid w:val="00927A79"/>
    <w:rsid w:val="009308B3"/>
    <w:rsid w:val="00934804"/>
    <w:rsid w:val="00954B2B"/>
    <w:rsid w:val="00957277"/>
    <w:rsid w:val="00957A7A"/>
    <w:rsid w:val="00965C0C"/>
    <w:rsid w:val="00966C3A"/>
    <w:rsid w:val="00971A16"/>
    <w:rsid w:val="009727D9"/>
    <w:rsid w:val="0097351A"/>
    <w:rsid w:val="00975153"/>
    <w:rsid w:val="00975470"/>
    <w:rsid w:val="00983871"/>
    <w:rsid w:val="009B1784"/>
    <w:rsid w:val="009B3594"/>
    <w:rsid w:val="009B5E18"/>
    <w:rsid w:val="009B5ED1"/>
    <w:rsid w:val="009C0477"/>
    <w:rsid w:val="009D189F"/>
    <w:rsid w:val="009E5E95"/>
    <w:rsid w:val="009F1897"/>
    <w:rsid w:val="009F249B"/>
    <w:rsid w:val="009F307F"/>
    <w:rsid w:val="009F4124"/>
    <w:rsid w:val="00A025D5"/>
    <w:rsid w:val="00A03750"/>
    <w:rsid w:val="00A03C97"/>
    <w:rsid w:val="00A04FFC"/>
    <w:rsid w:val="00A065CD"/>
    <w:rsid w:val="00A10A6C"/>
    <w:rsid w:val="00A10C26"/>
    <w:rsid w:val="00A231BD"/>
    <w:rsid w:val="00A25712"/>
    <w:rsid w:val="00A3071A"/>
    <w:rsid w:val="00A30C15"/>
    <w:rsid w:val="00A30D6F"/>
    <w:rsid w:val="00A37724"/>
    <w:rsid w:val="00A46CF4"/>
    <w:rsid w:val="00A5363B"/>
    <w:rsid w:val="00A61194"/>
    <w:rsid w:val="00A665C9"/>
    <w:rsid w:val="00A77695"/>
    <w:rsid w:val="00A8259C"/>
    <w:rsid w:val="00A85EB6"/>
    <w:rsid w:val="00A93A85"/>
    <w:rsid w:val="00A95481"/>
    <w:rsid w:val="00A96DD9"/>
    <w:rsid w:val="00AA32A1"/>
    <w:rsid w:val="00AA4C18"/>
    <w:rsid w:val="00AB0604"/>
    <w:rsid w:val="00AC0779"/>
    <w:rsid w:val="00AC3A43"/>
    <w:rsid w:val="00AC45CB"/>
    <w:rsid w:val="00AD3CEC"/>
    <w:rsid w:val="00AD4C4E"/>
    <w:rsid w:val="00AD5E87"/>
    <w:rsid w:val="00AE1367"/>
    <w:rsid w:val="00AE15B9"/>
    <w:rsid w:val="00AE36BA"/>
    <w:rsid w:val="00AF2E31"/>
    <w:rsid w:val="00AF476D"/>
    <w:rsid w:val="00B015A6"/>
    <w:rsid w:val="00B03ED5"/>
    <w:rsid w:val="00B06391"/>
    <w:rsid w:val="00B23A21"/>
    <w:rsid w:val="00B24017"/>
    <w:rsid w:val="00B25C39"/>
    <w:rsid w:val="00B32230"/>
    <w:rsid w:val="00B32FC9"/>
    <w:rsid w:val="00B356CA"/>
    <w:rsid w:val="00B35CCB"/>
    <w:rsid w:val="00B36532"/>
    <w:rsid w:val="00B369FE"/>
    <w:rsid w:val="00B37266"/>
    <w:rsid w:val="00B37B3E"/>
    <w:rsid w:val="00B41C7C"/>
    <w:rsid w:val="00B42A32"/>
    <w:rsid w:val="00B43C9D"/>
    <w:rsid w:val="00B448C4"/>
    <w:rsid w:val="00B44F1B"/>
    <w:rsid w:val="00B51EC2"/>
    <w:rsid w:val="00B525FC"/>
    <w:rsid w:val="00B555B8"/>
    <w:rsid w:val="00B63F4A"/>
    <w:rsid w:val="00B7439B"/>
    <w:rsid w:val="00B77057"/>
    <w:rsid w:val="00B810BC"/>
    <w:rsid w:val="00B93A44"/>
    <w:rsid w:val="00B94841"/>
    <w:rsid w:val="00B94F52"/>
    <w:rsid w:val="00BA281B"/>
    <w:rsid w:val="00BB4D86"/>
    <w:rsid w:val="00BD2A33"/>
    <w:rsid w:val="00BD5BCB"/>
    <w:rsid w:val="00BD7157"/>
    <w:rsid w:val="00BE0851"/>
    <w:rsid w:val="00BF2F61"/>
    <w:rsid w:val="00BF5A15"/>
    <w:rsid w:val="00BF7D56"/>
    <w:rsid w:val="00C01FCB"/>
    <w:rsid w:val="00C02E37"/>
    <w:rsid w:val="00C02F1C"/>
    <w:rsid w:val="00C053AB"/>
    <w:rsid w:val="00C06C97"/>
    <w:rsid w:val="00C07AD5"/>
    <w:rsid w:val="00C11795"/>
    <w:rsid w:val="00C15F63"/>
    <w:rsid w:val="00C15FE0"/>
    <w:rsid w:val="00C24FB2"/>
    <w:rsid w:val="00C2630B"/>
    <w:rsid w:val="00C26948"/>
    <w:rsid w:val="00C34D07"/>
    <w:rsid w:val="00C40EC0"/>
    <w:rsid w:val="00C43902"/>
    <w:rsid w:val="00C5346F"/>
    <w:rsid w:val="00C55F1A"/>
    <w:rsid w:val="00C56023"/>
    <w:rsid w:val="00C57D99"/>
    <w:rsid w:val="00C57DD4"/>
    <w:rsid w:val="00C655F8"/>
    <w:rsid w:val="00C74185"/>
    <w:rsid w:val="00C74991"/>
    <w:rsid w:val="00C75449"/>
    <w:rsid w:val="00C83BCE"/>
    <w:rsid w:val="00C90A5C"/>
    <w:rsid w:val="00C94B57"/>
    <w:rsid w:val="00CA54B2"/>
    <w:rsid w:val="00CA7C1C"/>
    <w:rsid w:val="00CB3EDA"/>
    <w:rsid w:val="00CB45EB"/>
    <w:rsid w:val="00CB6D29"/>
    <w:rsid w:val="00CD0C45"/>
    <w:rsid w:val="00CD7323"/>
    <w:rsid w:val="00CE62D9"/>
    <w:rsid w:val="00CE706B"/>
    <w:rsid w:val="00CE70D3"/>
    <w:rsid w:val="00D03FF3"/>
    <w:rsid w:val="00D0546A"/>
    <w:rsid w:val="00D07362"/>
    <w:rsid w:val="00D109C7"/>
    <w:rsid w:val="00D14787"/>
    <w:rsid w:val="00D155BD"/>
    <w:rsid w:val="00D1662B"/>
    <w:rsid w:val="00D166B2"/>
    <w:rsid w:val="00D20FAC"/>
    <w:rsid w:val="00D267EF"/>
    <w:rsid w:val="00D30F67"/>
    <w:rsid w:val="00D40049"/>
    <w:rsid w:val="00D45626"/>
    <w:rsid w:val="00D55A2E"/>
    <w:rsid w:val="00D6050F"/>
    <w:rsid w:val="00D66FE9"/>
    <w:rsid w:val="00D67989"/>
    <w:rsid w:val="00D723D7"/>
    <w:rsid w:val="00D72721"/>
    <w:rsid w:val="00D760CD"/>
    <w:rsid w:val="00D7624E"/>
    <w:rsid w:val="00D8270A"/>
    <w:rsid w:val="00D83F8D"/>
    <w:rsid w:val="00D911A8"/>
    <w:rsid w:val="00D97ABD"/>
    <w:rsid w:val="00DB569B"/>
    <w:rsid w:val="00DB6250"/>
    <w:rsid w:val="00DB738F"/>
    <w:rsid w:val="00DC057A"/>
    <w:rsid w:val="00DC5395"/>
    <w:rsid w:val="00DD2729"/>
    <w:rsid w:val="00DF06E3"/>
    <w:rsid w:val="00DF75B0"/>
    <w:rsid w:val="00E01DB4"/>
    <w:rsid w:val="00E02C3A"/>
    <w:rsid w:val="00E03462"/>
    <w:rsid w:val="00E100DE"/>
    <w:rsid w:val="00E16E61"/>
    <w:rsid w:val="00E2423C"/>
    <w:rsid w:val="00E24A82"/>
    <w:rsid w:val="00E27FB4"/>
    <w:rsid w:val="00E40A10"/>
    <w:rsid w:val="00E422E1"/>
    <w:rsid w:val="00E43F21"/>
    <w:rsid w:val="00E44EFF"/>
    <w:rsid w:val="00E50607"/>
    <w:rsid w:val="00E55BB8"/>
    <w:rsid w:val="00E62024"/>
    <w:rsid w:val="00E62F26"/>
    <w:rsid w:val="00E63A7A"/>
    <w:rsid w:val="00E86F4E"/>
    <w:rsid w:val="00E95BFE"/>
    <w:rsid w:val="00EA146A"/>
    <w:rsid w:val="00EA4CC5"/>
    <w:rsid w:val="00EA661B"/>
    <w:rsid w:val="00EC0C61"/>
    <w:rsid w:val="00EE3748"/>
    <w:rsid w:val="00EF6E4E"/>
    <w:rsid w:val="00F065F0"/>
    <w:rsid w:val="00F07015"/>
    <w:rsid w:val="00F3582B"/>
    <w:rsid w:val="00F50D2B"/>
    <w:rsid w:val="00F528AF"/>
    <w:rsid w:val="00F541C8"/>
    <w:rsid w:val="00F56597"/>
    <w:rsid w:val="00F57CB2"/>
    <w:rsid w:val="00F60A0D"/>
    <w:rsid w:val="00F74BDC"/>
    <w:rsid w:val="00F753FC"/>
    <w:rsid w:val="00F75663"/>
    <w:rsid w:val="00F77420"/>
    <w:rsid w:val="00F812E0"/>
    <w:rsid w:val="00F81949"/>
    <w:rsid w:val="00F84672"/>
    <w:rsid w:val="00F84B44"/>
    <w:rsid w:val="00F85E65"/>
    <w:rsid w:val="00F92C5A"/>
    <w:rsid w:val="00F9311A"/>
    <w:rsid w:val="00FA6102"/>
    <w:rsid w:val="00FA6B82"/>
    <w:rsid w:val="00FB0D9A"/>
    <w:rsid w:val="00FB1C80"/>
    <w:rsid w:val="00FB1FB9"/>
    <w:rsid w:val="00FB37D9"/>
    <w:rsid w:val="00FB5747"/>
    <w:rsid w:val="00FC2185"/>
    <w:rsid w:val="00FC48F3"/>
    <w:rsid w:val="00FD7E77"/>
    <w:rsid w:val="00FE5A67"/>
    <w:rsid w:val="00FE7652"/>
    <w:rsid w:val="00FF101C"/>
    <w:rsid w:val="00FF1B96"/>
    <w:rsid w:val="00FF4A50"/>
    <w:rsid w:val="00FF50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docId w15:val="{F1E1A101-B9CE-42BE-85E6-811917515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uiPriority w:val="9"/>
    <w:qFormat/>
    <w:rsid w:val="00614B4B"/>
    <w:pPr>
      <w:spacing w:before="105" w:after="210"/>
      <w:outlineLvl w:val="0"/>
    </w:pPr>
    <w:rPr>
      <w:rFonts w:ascii="Gill Sans" w:hAnsi="Gill Sans" w:cs="Gill Sans"/>
      <w:color w:val="2B2B2B"/>
      <w:spacing w:val="5"/>
      <w:kern w:val="36"/>
      <w:sz w:val="48"/>
      <w:szCs w:val="48"/>
    </w:rPr>
  </w:style>
  <w:style w:type="paragraph" w:styleId="Heading2">
    <w:name w:val="heading 2"/>
    <w:basedOn w:val="Normal"/>
    <w:link w:val="Heading2Char"/>
    <w:uiPriority w:val="9"/>
    <w:qFormat/>
    <w:rsid w:val="00614B4B"/>
    <w:pPr>
      <w:spacing w:before="105" w:after="105"/>
      <w:outlineLvl w:val="1"/>
    </w:pPr>
    <w:rPr>
      <w:rFonts w:ascii="Gill Sans" w:hAnsi="Gill Sans" w:cs="Gill Sans"/>
      <w:color w:val="2B2B2B"/>
      <w:spacing w:val="5"/>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36D2D"/>
    <w:pPr>
      <w:tabs>
        <w:tab w:val="center" w:pos="4680"/>
        <w:tab w:val="right" w:pos="9360"/>
      </w:tabs>
    </w:pPr>
  </w:style>
  <w:style w:type="character" w:customStyle="1" w:styleId="HeaderChar">
    <w:name w:val="Header Char"/>
    <w:basedOn w:val="DefaultParagraphFont"/>
    <w:link w:val="Header"/>
    <w:rsid w:val="00336D2D"/>
    <w:rPr>
      <w:sz w:val="24"/>
      <w:szCs w:val="24"/>
    </w:rPr>
  </w:style>
  <w:style w:type="paragraph" w:styleId="Footer">
    <w:name w:val="footer"/>
    <w:basedOn w:val="Normal"/>
    <w:link w:val="FooterChar"/>
    <w:uiPriority w:val="99"/>
    <w:rsid w:val="00336D2D"/>
    <w:pPr>
      <w:tabs>
        <w:tab w:val="center" w:pos="4680"/>
        <w:tab w:val="right" w:pos="9360"/>
      </w:tabs>
    </w:pPr>
  </w:style>
  <w:style w:type="character" w:customStyle="1" w:styleId="FooterChar">
    <w:name w:val="Footer Char"/>
    <w:basedOn w:val="DefaultParagraphFont"/>
    <w:link w:val="Footer"/>
    <w:uiPriority w:val="99"/>
    <w:rsid w:val="00336D2D"/>
    <w:rPr>
      <w:sz w:val="24"/>
      <w:szCs w:val="24"/>
    </w:rPr>
  </w:style>
  <w:style w:type="paragraph" w:styleId="BalloonText">
    <w:name w:val="Balloon Text"/>
    <w:basedOn w:val="Normal"/>
    <w:link w:val="BalloonTextChar"/>
    <w:rsid w:val="00336D2D"/>
    <w:rPr>
      <w:rFonts w:ascii="Tahoma" w:hAnsi="Tahoma" w:cs="Tahoma"/>
      <w:sz w:val="16"/>
      <w:szCs w:val="16"/>
    </w:rPr>
  </w:style>
  <w:style w:type="character" w:customStyle="1" w:styleId="BalloonTextChar">
    <w:name w:val="Balloon Text Char"/>
    <w:basedOn w:val="DefaultParagraphFont"/>
    <w:link w:val="BalloonText"/>
    <w:rsid w:val="00336D2D"/>
    <w:rPr>
      <w:rFonts w:ascii="Tahoma" w:hAnsi="Tahoma" w:cs="Tahoma"/>
      <w:sz w:val="16"/>
      <w:szCs w:val="16"/>
    </w:rPr>
  </w:style>
  <w:style w:type="character" w:styleId="CommentReference">
    <w:name w:val="annotation reference"/>
    <w:basedOn w:val="DefaultParagraphFont"/>
    <w:rsid w:val="00A30D6F"/>
    <w:rPr>
      <w:sz w:val="16"/>
      <w:szCs w:val="16"/>
    </w:rPr>
  </w:style>
  <w:style w:type="paragraph" w:styleId="CommentText">
    <w:name w:val="annotation text"/>
    <w:basedOn w:val="Normal"/>
    <w:link w:val="CommentTextChar"/>
    <w:rsid w:val="00A30D6F"/>
    <w:rPr>
      <w:sz w:val="20"/>
      <w:szCs w:val="20"/>
    </w:rPr>
  </w:style>
  <w:style w:type="character" w:customStyle="1" w:styleId="CommentTextChar">
    <w:name w:val="Comment Text Char"/>
    <w:basedOn w:val="DefaultParagraphFont"/>
    <w:link w:val="CommentText"/>
    <w:rsid w:val="00A30D6F"/>
  </w:style>
  <w:style w:type="paragraph" w:styleId="CommentSubject">
    <w:name w:val="annotation subject"/>
    <w:basedOn w:val="CommentText"/>
    <w:next w:val="CommentText"/>
    <w:link w:val="CommentSubjectChar"/>
    <w:rsid w:val="00A30D6F"/>
    <w:rPr>
      <w:b/>
      <w:bCs/>
    </w:rPr>
  </w:style>
  <w:style w:type="character" w:customStyle="1" w:styleId="CommentSubjectChar">
    <w:name w:val="Comment Subject Char"/>
    <w:basedOn w:val="CommentTextChar"/>
    <w:link w:val="CommentSubject"/>
    <w:rsid w:val="00A30D6F"/>
    <w:rPr>
      <w:b/>
      <w:bCs/>
    </w:rPr>
  </w:style>
  <w:style w:type="table" w:styleId="TableGrid">
    <w:name w:val="Table Grid"/>
    <w:basedOn w:val="TableNormal"/>
    <w:uiPriority w:val="39"/>
    <w:rsid w:val="00A30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729C"/>
    <w:pPr>
      <w:ind w:left="720"/>
      <w:contextualSpacing/>
    </w:pPr>
  </w:style>
  <w:style w:type="character" w:styleId="Hyperlink">
    <w:name w:val="Hyperlink"/>
    <w:basedOn w:val="DefaultParagraphFont"/>
    <w:rsid w:val="00DB6250"/>
    <w:rPr>
      <w:color w:val="0000FF"/>
      <w:u w:val="single"/>
    </w:rPr>
  </w:style>
  <w:style w:type="paragraph" w:customStyle="1" w:styleId="StyleLeft0Hanging1">
    <w:name w:val="Style Left:  0&quot; Hanging:  1&quot;"/>
    <w:basedOn w:val="Normal"/>
    <w:rsid w:val="00DB6250"/>
    <w:pPr>
      <w:widowControl w:val="0"/>
      <w:ind w:left="1440" w:hanging="1440"/>
    </w:pPr>
    <w:rPr>
      <w:rFonts w:ascii="Courier New" w:hAnsi="Courier New"/>
      <w:snapToGrid w:val="0"/>
      <w:szCs w:val="20"/>
      <w:lang w:val="en-US" w:eastAsia="en-US"/>
    </w:rPr>
  </w:style>
  <w:style w:type="character" w:customStyle="1" w:styleId="frlabel">
    <w:name w:val="fr_label"/>
    <w:basedOn w:val="DefaultParagraphFont"/>
    <w:rsid w:val="001E5D4A"/>
  </w:style>
  <w:style w:type="paragraph" w:customStyle="1" w:styleId="Reference">
    <w:name w:val="Reference"/>
    <w:basedOn w:val="Normal"/>
    <w:rsid w:val="001E5D4A"/>
    <w:pPr>
      <w:numPr>
        <w:numId w:val="2"/>
      </w:numPr>
      <w:spacing w:before="40" w:line="360" w:lineRule="auto"/>
    </w:pPr>
    <w:rPr>
      <w:szCs w:val="20"/>
      <w:lang w:val="en-GB" w:eastAsia="en-US"/>
    </w:rPr>
  </w:style>
  <w:style w:type="character" w:styleId="HTMLCite">
    <w:name w:val="HTML Cite"/>
    <w:uiPriority w:val="99"/>
    <w:unhideWhenUsed/>
    <w:rsid w:val="001E5D4A"/>
    <w:rPr>
      <w:i/>
      <w:iCs/>
    </w:rPr>
  </w:style>
  <w:style w:type="character" w:customStyle="1" w:styleId="slug-pub-date">
    <w:name w:val="slug-pub-date"/>
    <w:basedOn w:val="DefaultParagraphFont"/>
    <w:rsid w:val="001E5D4A"/>
  </w:style>
  <w:style w:type="character" w:customStyle="1" w:styleId="slug-vol">
    <w:name w:val="slug-vol"/>
    <w:basedOn w:val="DefaultParagraphFont"/>
    <w:rsid w:val="001E5D4A"/>
  </w:style>
  <w:style w:type="character" w:customStyle="1" w:styleId="slug-pages">
    <w:name w:val="slug-pages"/>
    <w:basedOn w:val="DefaultParagraphFont"/>
    <w:rsid w:val="001E5D4A"/>
  </w:style>
  <w:style w:type="paragraph" w:customStyle="1" w:styleId="imprint">
    <w:name w:val="imprint"/>
    <w:uiPriority w:val="19"/>
    <w:rsid w:val="00564F63"/>
    <w:pPr>
      <w:jc w:val="right"/>
    </w:pPr>
    <w:rPr>
      <w:rFonts w:ascii="Gill Sans" w:eastAsia="Calibri" w:hAnsi="Gill Sans"/>
      <w:sz w:val="14"/>
      <w:szCs w:val="14"/>
      <w:lang w:val="en-US" w:eastAsia="en-US"/>
    </w:rPr>
  </w:style>
  <w:style w:type="character" w:styleId="PageNumber">
    <w:name w:val="page number"/>
    <w:basedOn w:val="DefaultParagraphFont"/>
    <w:rsid w:val="00A231BD"/>
  </w:style>
  <w:style w:type="paragraph" w:customStyle="1" w:styleId="Table">
    <w:name w:val="Table"/>
    <w:basedOn w:val="Normal"/>
    <w:rsid w:val="00A231BD"/>
    <w:pPr>
      <w:spacing w:line="480" w:lineRule="auto"/>
    </w:pPr>
    <w:rPr>
      <w:lang w:val="en-US" w:eastAsia="en-US"/>
    </w:rPr>
  </w:style>
  <w:style w:type="character" w:customStyle="1" w:styleId="Heading1Char">
    <w:name w:val="Heading 1 Char"/>
    <w:basedOn w:val="DefaultParagraphFont"/>
    <w:link w:val="Heading1"/>
    <w:uiPriority w:val="9"/>
    <w:rsid w:val="00614B4B"/>
    <w:rPr>
      <w:rFonts w:ascii="Gill Sans" w:hAnsi="Gill Sans" w:cs="Gill Sans"/>
      <w:color w:val="2B2B2B"/>
      <w:spacing w:val="5"/>
      <w:kern w:val="36"/>
      <w:sz w:val="48"/>
      <w:szCs w:val="48"/>
    </w:rPr>
  </w:style>
  <w:style w:type="character" w:customStyle="1" w:styleId="Heading2Char">
    <w:name w:val="Heading 2 Char"/>
    <w:basedOn w:val="DefaultParagraphFont"/>
    <w:link w:val="Heading2"/>
    <w:uiPriority w:val="9"/>
    <w:rsid w:val="00614B4B"/>
    <w:rPr>
      <w:rFonts w:ascii="Gill Sans" w:hAnsi="Gill Sans" w:cs="Gill Sans"/>
      <w:color w:val="2B2B2B"/>
      <w:spacing w:val="5"/>
      <w:sz w:val="42"/>
      <w:szCs w:val="42"/>
    </w:rPr>
  </w:style>
  <w:style w:type="character" w:customStyle="1" w:styleId="personname">
    <w:name w:val="person_name"/>
    <w:basedOn w:val="DefaultParagraphFont"/>
    <w:rsid w:val="003A519A"/>
  </w:style>
  <w:style w:type="character" w:styleId="Emphasis">
    <w:name w:val="Emphasis"/>
    <w:basedOn w:val="DefaultParagraphFont"/>
    <w:uiPriority w:val="20"/>
    <w:qFormat/>
    <w:rsid w:val="003A519A"/>
    <w:rPr>
      <w:i/>
      <w:iCs/>
    </w:rPr>
  </w:style>
  <w:style w:type="character" w:customStyle="1" w:styleId="slug-doi">
    <w:name w:val="slug-doi"/>
    <w:basedOn w:val="DefaultParagraphFont"/>
    <w:rsid w:val="00B43C9D"/>
  </w:style>
  <w:style w:type="paragraph" w:customStyle="1" w:styleId="article-doi">
    <w:name w:val="article-doi"/>
    <w:basedOn w:val="Normal"/>
    <w:rsid w:val="00B43C9D"/>
    <w:pPr>
      <w:spacing w:before="100" w:beforeAutospacing="1" w:after="100" w:afterAutospacing="1"/>
    </w:pPr>
  </w:style>
  <w:style w:type="paragraph" w:styleId="NormalWeb">
    <w:name w:val="Normal (Web)"/>
    <w:basedOn w:val="Normal"/>
    <w:uiPriority w:val="99"/>
    <w:unhideWhenUsed/>
    <w:rsid w:val="00C55F1A"/>
    <w:pPr>
      <w:spacing w:after="173"/>
    </w:pPr>
  </w:style>
  <w:style w:type="paragraph" w:styleId="BodyText">
    <w:name w:val="Body Text"/>
    <w:basedOn w:val="Normal"/>
    <w:link w:val="BodyTextChar"/>
    <w:rsid w:val="00AA32A1"/>
    <w:pPr>
      <w:spacing w:after="120"/>
    </w:pPr>
    <w:rPr>
      <w:lang w:eastAsia="en-US"/>
    </w:rPr>
  </w:style>
  <w:style w:type="character" w:customStyle="1" w:styleId="BodyTextChar">
    <w:name w:val="Body Text Char"/>
    <w:basedOn w:val="DefaultParagraphFont"/>
    <w:link w:val="BodyText"/>
    <w:rsid w:val="00AA32A1"/>
    <w:rPr>
      <w:sz w:val="24"/>
      <w:szCs w:val="24"/>
      <w:lang w:eastAsia="en-US"/>
    </w:rPr>
  </w:style>
  <w:style w:type="paragraph" w:styleId="BodyTextIndent">
    <w:name w:val="Body Text Indent"/>
    <w:basedOn w:val="Normal"/>
    <w:link w:val="BodyTextIndentChar"/>
    <w:rsid w:val="00AA32A1"/>
    <w:pPr>
      <w:spacing w:after="120"/>
      <w:ind w:left="360"/>
    </w:pPr>
  </w:style>
  <w:style w:type="character" w:customStyle="1" w:styleId="BodyTextIndentChar">
    <w:name w:val="Body Text Indent Char"/>
    <w:basedOn w:val="DefaultParagraphFont"/>
    <w:link w:val="BodyTextIndent"/>
    <w:rsid w:val="00AA32A1"/>
    <w:rPr>
      <w:sz w:val="24"/>
      <w:szCs w:val="24"/>
    </w:rPr>
  </w:style>
  <w:style w:type="paragraph" w:styleId="BodyTextIndent2">
    <w:name w:val="Body Text Indent 2"/>
    <w:basedOn w:val="Normal"/>
    <w:link w:val="BodyTextIndent2Char"/>
    <w:rsid w:val="00AA32A1"/>
    <w:pPr>
      <w:spacing w:after="120" w:line="480" w:lineRule="auto"/>
      <w:ind w:left="360"/>
    </w:pPr>
  </w:style>
  <w:style w:type="character" w:customStyle="1" w:styleId="BodyTextIndent2Char">
    <w:name w:val="Body Text Indent 2 Char"/>
    <w:basedOn w:val="DefaultParagraphFont"/>
    <w:link w:val="BodyTextIndent2"/>
    <w:rsid w:val="00AA32A1"/>
    <w:rPr>
      <w:sz w:val="24"/>
      <w:szCs w:val="24"/>
    </w:rPr>
  </w:style>
  <w:style w:type="character" w:customStyle="1" w:styleId="slug-metadata-note3">
    <w:name w:val="slug-metadata-note3"/>
    <w:basedOn w:val="DefaultParagraphFont"/>
    <w:rsid w:val="004945E6"/>
    <w:rPr>
      <w:vanish w:val="0"/>
      <w:webHidden w:val="0"/>
      <w:specVanish w:val="0"/>
    </w:rPr>
  </w:style>
  <w:style w:type="character" w:customStyle="1" w:styleId="authordegrees">
    <w:name w:val="authordegrees"/>
    <w:basedOn w:val="DefaultParagraphFont"/>
    <w:rsid w:val="00AE15B9"/>
    <w:rPr>
      <w:sz w:val="24"/>
      <w:szCs w:val="24"/>
      <w:bdr w:val="none" w:sz="0" w:space="0" w:color="auto" w:frame="1"/>
      <w:vertAlign w:val="baseline"/>
    </w:rPr>
  </w:style>
  <w:style w:type="character" w:customStyle="1" w:styleId="subtitle6">
    <w:name w:val="subtitle6"/>
    <w:basedOn w:val="DefaultParagraphFont"/>
    <w:rsid w:val="005655AE"/>
    <w:rPr>
      <w:vanish w:val="0"/>
      <w:webHidden w:val="0"/>
      <w:specVanish w:val="0"/>
    </w:rPr>
  </w:style>
  <w:style w:type="character" w:customStyle="1" w:styleId="meta-authors--limited">
    <w:name w:val="meta-authors--limited"/>
    <w:basedOn w:val="DefaultParagraphFont"/>
    <w:rsid w:val="005655AE"/>
  </w:style>
  <w:style w:type="character" w:customStyle="1" w:styleId="wi-fullname">
    <w:name w:val="wi-fullname"/>
    <w:basedOn w:val="DefaultParagraphFont"/>
    <w:rsid w:val="005655AE"/>
  </w:style>
  <w:style w:type="character" w:customStyle="1" w:styleId="meta-authors--remaining1">
    <w:name w:val="meta-authors--remaining1"/>
    <w:basedOn w:val="DefaultParagraphFont"/>
    <w:rsid w:val="005655AE"/>
    <w:rPr>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34906">
      <w:bodyDiv w:val="1"/>
      <w:marLeft w:val="0"/>
      <w:marRight w:val="0"/>
      <w:marTop w:val="0"/>
      <w:marBottom w:val="0"/>
      <w:divBdr>
        <w:top w:val="none" w:sz="0" w:space="0" w:color="auto"/>
        <w:left w:val="none" w:sz="0" w:space="0" w:color="auto"/>
        <w:bottom w:val="none" w:sz="0" w:space="0" w:color="auto"/>
        <w:right w:val="none" w:sz="0" w:space="0" w:color="auto"/>
      </w:divBdr>
      <w:divsChild>
        <w:div w:id="884486875">
          <w:marLeft w:val="0"/>
          <w:marRight w:val="0"/>
          <w:marTop w:val="0"/>
          <w:marBottom w:val="0"/>
          <w:divBdr>
            <w:top w:val="none" w:sz="0" w:space="0" w:color="auto"/>
            <w:left w:val="none" w:sz="0" w:space="0" w:color="auto"/>
            <w:bottom w:val="none" w:sz="0" w:space="0" w:color="auto"/>
            <w:right w:val="none" w:sz="0" w:space="0" w:color="auto"/>
          </w:divBdr>
          <w:divsChild>
            <w:div w:id="1831871402">
              <w:marLeft w:val="0"/>
              <w:marRight w:val="0"/>
              <w:marTop w:val="0"/>
              <w:marBottom w:val="0"/>
              <w:divBdr>
                <w:top w:val="none" w:sz="0" w:space="0" w:color="auto"/>
                <w:left w:val="none" w:sz="0" w:space="0" w:color="auto"/>
                <w:bottom w:val="none" w:sz="0" w:space="0" w:color="auto"/>
                <w:right w:val="none" w:sz="0" w:space="0" w:color="auto"/>
              </w:divBdr>
              <w:divsChild>
                <w:div w:id="197596227">
                  <w:marLeft w:val="0"/>
                  <w:marRight w:val="0"/>
                  <w:marTop w:val="0"/>
                  <w:marBottom w:val="0"/>
                  <w:divBdr>
                    <w:top w:val="none" w:sz="0" w:space="0" w:color="auto"/>
                    <w:left w:val="none" w:sz="0" w:space="0" w:color="auto"/>
                    <w:bottom w:val="none" w:sz="0" w:space="0" w:color="auto"/>
                    <w:right w:val="none" w:sz="0" w:space="0" w:color="auto"/>
                  </w:divBdr>
                  <w:divsChild>
                    <w:div w:id="327947673">
                      <w:marLeft w:val="0"/>
                      <w:marRight w:val="0"/>
                      <w:marTop w:val="0"/>
                      <w:marBottom w:val="0"/>
                      <w:divBdr>
                        <w:top w:val="none" w:sz="0" w:space="0" w:color="auto"/>
                        <w:left w:val="none" w:sz="0" w:space="0" w:color="auto"/>
                        <w:bottom w:val="none" w:sz="0" w:space="0" w:color="auto"/>
                        <w:right w:val="none" w:sz="0" w:space="0" w:color="auto"/>
                      </w:divBdr>
                      <w:divsChild>
                        <w:div w:id="1434010052">
                          <w:marLeft w:val="0"/>
                          <w:marRight w:val="0"/>
                          <w:marTop w:val="0"/>
                          <w:marBottom w:val="0"/>
                          <w:divBdr>
                            <w:top w:val="none" w:sz="0" w:space="0" w:color="auto"/>
                            <w:left w:val="none" w:sz="0" w:space="0" w:color="auto"/>
                            <w:bottom w:val="none" w:sz="0" w:space="0" w:color="auto"/>
                            <w:right w:val="none" w:sz="0" w:space="0" w:color="auto"/>
                          </w:divBdr>
                          <w:divsChild>
                            <w:div w:id="172505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25068">
      <w:bodyDiv w:val="1"/>
      <w:marLeft w:val="0"/>
      <w:marRight w:val="0"/>
      <w:marTop w:val="0"/>
      <w:marBottom w:val="0"/>
      <w:divBdr>
        <w:top w:val="none" w:sz="0" w:space="0" w:color="auto"/>
        <w:left w:val="none" w:sz="0" w:space="0" w:color="auto"/>
        <w:bottom w:val="none" w:sz="0" w:space="0" w:color="auto"/>
        <w:right w:val="none" w:sz="0" w:space="0" w:color="auto"/>
      </w:divBdr>
      <w:divsChild>
        <w:div w:id="170409682">
          <w:marLeft w:val="0"/>
          <w:marRight w:val="0"/>
          <w:marTop w:val="0"/>
          <w:marBottom w:val="0"/>
          <w:divBdr>
            <w:top w:val="none" w:sz="0" w:space="0" w:color="auto"/>
            <w:left w:val="none" w:sz="0" w:space="0" w:color="auto"/>
            <w:bottom w:val="none" w:sz="0" w:space="0" w:color="auto"/>
            <w:right w:val="none" w:sz="0" w:space="0" w:color="auto"/>
          </w:divBdr>
          <w:divsChild>
            <w:div w:id="1440417663">
              <w:marLeft w:val="0"/>
              <w:marRight w:val="0"/>
              <w:marTop w:val="0"/>
              <w:marBottom w:val="0"/>
              <w:divBdr>
                <w:top w:val="none" w:sz="0" w:space="0" w:color="auto"/>
                <w:left w:val="none" w:sz="0" w:space="0" w:color="auto"/>
                <w:bottom w:val="none" w:sz="0" w:space="0" w:color="auto"/>
                <w:right w:val="none" w:sz="0" w:space="0" w:color="auto"/>
              </w:divBdr>
              <w:divsChild>
                <w:div w:id="1803110390">
                  <w:marLeft w:val="0"/>
                  <w:marRight w:val="0"/>
                  <w:marTop w:val="0"/>
                  <w:marBottom w:val="0"/>
                  <w:divBdr>
                    <w:top w:val="none" w:sz="0" w:space="0" w:color="auto"/>
                    <w:left w:val="none" w:sz="0" w:space="0" w:color="auto"/>
                    <w:bottom w:val="none" w:sz="0" w:space="0" w:color="auto"/>
                    <w:right w:val="none" w:sz="0" w:space="0" w:color="auto"/>
                  </w:divBdr>
                  <w:divsChild>
                    <w:div w:id="1158425819">
                      <w:marLeft w:val="0"/>
                      <w:marRight w:val="0"/>
                      <w:marTop w:val="0"/>
                      <w:marBottom w:val="0"/>
                      <w:divBdr>
                        <w:top w:val="none" w:sz="0" w:space="0" w:color="auto"/>
                        <w:left w:val="none" w:sz="0" w:space="0" w:color="auto"/>
                        <w:bottom w:val="none" w:sz="0" w:space="0" w:color="auto"/>
                        <w:right w:val="none" w:sz="0" w:space="0" w:color="auto"/>
                      </w:divBdr>
                      <w:divsChild>
                        <w:div w:id="1605576175">
                          <w:marLeft w:val="0"/>
                          <w:marRight w:val="0"/>
                          <w:marTop w:val="0"/>
                          <w:marBottom w:val="0"/>
                          <w:divBdr>
                            <w:top w:val="none" w:sz="0" w:space="0" w:color="auto"/>
                            <w:left w:val="none" w:sz="0" w:space="0" w:color="auto"/>
                            <w:bottom w:val="none" w:sz="0" w:space="0" w:color="auto"/>
                            <w:right w:val="none" w:sz="0" w:space="0" w:color="auto"/>
                          </w:divBdr>
                          <w:divsChild>
                            <w:div w:id="206578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9183">
      <w:bodyDiv w:val="1"/>
      <w:marLeft w:val="0"/>
      <w:marRight w:val="0"/>
      <w:marTop w:val="0"/>
      <w:marBottom w:val="0"/>
      <w:divBdr>
        <w:top w:val="none" w:sz="0" w:space="0" w:color="auto"/>
        <w:left w:val="none" w:sz="0" w:space="0" w:color="auto"/>
        <w:bottom w:val="none" w:sz="0" w:space="0" w:color="auto"/>
        <w:right w:val="none" w:sz="0" w:space="0" w:color="auto"/>
      </w:divBdr>
      <w:divsChild>
        <w:div w:id="1202783953">
          <w:marLeft w:val="-225"/>
          <w:marRight w:val="-225"/>
          <w:marTop w:val="0"/>
          <w:marBottom w:val="0"/>
          <w:divBdr>
            <w:top w:val="none" w:sz="0" w:space="0" w:color="auto"/>
            <w:left w:val="none" w:sz="0" w:space="0" w:color="auto"/>
            <w:bottom w:val="none" w:sz="0" w:space="0" w:color="auto"/>
            <w:right w:val="none" w:sz="0" w:space="0" w:color="auto"/>
          </w:divBdr>
          <w:divsChild>
            <w:div w:id="66312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94699">
      <w:bodyDiv w:val="1"/>
      <w:marLeft w:val="0"/>
      <w:marRight w:val="0"/>
      <w:marTop w:val="0"/>
      <w:marBottom w:val="0"/>
      <w:divBdr>
        <w:top w:val="none" w:sz="0" w:space="0" w:color="auto"/>
        <w:left w:val="none" w:sz="0" w:space="0" w:color="auto"/>
        <w:bottom w:val="none" w:sz="0" w:space="0" w:color="auto"/>
        <w:right w:val="none" w:sz="0" w:space="0" w:color="auto"/>
      </w:divBdr>
      <w:divsChild>
        <w:div w:id="913854990">
          <w:marLeft w:val="0"/>
          <w:marRight w:val="0"/>
          <w:marTop w:val="0"/>
          <w:marBottom w:val="0"/>
          <w:divBdr>
            <w:top w:val="none" w:sz="0" w:space="0" w:color="auto"/>
            <w:left w:val="none" w:sz="0" w:space="0" w:color="auto"/>
            <w:bottom w:val="none" w:sz="0" w:space="0" w:color="auto"/>
            <w:right w:val="none" w:sz="0" w:space="0" w:color="auto"/>
          </w:divBdr>
          <w:divsChild>
            <w:div w:id="778183153">
              <w:marLeft w:val="0"/>
              <w:marRight w:val="0"/>
              <w:marTop w:val="0"/>
              <w:marBottom w:val="0"/>
              <w:divBdr>
                <w:top w:val="none" w:sz="0" w:space="0" w:color="auto"/>
                <w:left w:val="none" w:sz="0" w:space="0" w:color="auto"/>
                <w:bottom w:val="none" w:sz="0" w:space="0" w:color="auto"/>
                <w:right w:val="none" w:sz="0" w:space="0" w:color="auto"/>
              </w:divBdr>
              <w:divsChild>
                <w:div w:id="45227058">
                  <w:marLeft w:val="0"/>
                  <w:marRight w:val="0"/>
                  <w:marTop w:val="0"/>
                  <w:marBottom w:val="0"/>
                  <w:divBdr>
                    <w:top w:val="none" w:sz="0" w:space="0" w:color="auto"/>
                    <w:left w:val="none" w:sz="0" w:space="0" w:color="auto"/>
                    <w:bottom w:val="none" w:sz="0" w:space="0" w:color="auto"/>
                    <w:right w:val="none" w:sz="0" w:space="0" w:color="auto"/>
                  </w:divBdr>
                  <w:divsChild>
                    <w:div w:id="1184856599">
                      <w:marLeft w:val="0"/>
                      <w:marRight w:val="0"/>
                      <w:marTop w:val="0"/>
                      <w:marBottom w:val="0"/>
                      <w:divBdr>
                        <w:top w:val="none" w:sz="0" w:space="0" w:color="auto"/>
                        <w:left w:val="none" w:sz="0" w:space="0" w:color="auto"/>
                        <w:bottom w:val="none" w:sz="0" w:space="0" w:color="auto"/>
                        <w:right w:val="none" w:sz="0" w:space="0" w:color="auto"/>
                      </w:divBdr>
                      <w:divsChild>
                        <w:div w:id="1401439312">
                          <w:marLeft w:val="0"/>
                          <w:marRight w:val="0"/>
                          <w:marTop w:val="0"/>
                          <w:marBottom w:val="0"/>
                          <w:divBdr>
                            <w:top w:val="none" w:sz="0" w:space="0" w:color="auto"/>
                            <w:left w:val="none" w:sz="0" w:space="0" w:color="auto"/>
                            <w:bottom w:val="none" w:sz="0" w:space="0" w:color="auto"/>
                            <w:right w:val="none" w:sz="0" w:space="0" w:color="auto"/>
                          </w:divBdr>
                          <w:divsChild>
                            <w:div w:id="75328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02648">
      <w:bodyDiv w:val="1"/>
      <w:marLeft w:val="0"/>
      <w:marRight w:val="0"/>
      <w:marTop w:val="0"/>
      <w:marBottom w:val="0"/>
      <w:divBdr>
        <w:top w:val="none" w:sz="0" w:space="0" w:color="auto"/>
        <w:left w:val="none" w:sz="0" w:space="0" w:color="auto"/>
        <w:bottom w:val="none" w:sz="0" w:space="0" w:color="auto"/>
        <w:right w:val="none" w:sz="0" w:space="0" w:color="auto"/>
      </w:divBdr>
      <w:divsChild>
        <w:div w:id="1368064694">
          <w:marLeft w:val="0"/>
          <w:marRight w:val="0"/>
          <w:marTop w:val="0"/>
          <w:marBottom w:val="0"/>
          <w:divBdr>
            <w:top w:val="none" w:sz="0" w:space="0" w:color="auto"/>
            <w:left w:val="none" w:sz="0" w:space="0" w:color="auto"/>
            <w:bottom w:val="none" w:sz="0" w:space="0" w:color="auto"/>
            <w:right w:val="none" w:sz="0" w:space="0" w:color="auto"/>
          </w:divBdr>
          <w:divsChild>
            <w:div w:id="446580543">
              <w:marLeft w:val="0"/>
              <w:marRight w:val="0"/>
              <w:marTop w:val="0"/>
              <w:marBottom w:val="0"/>
              <w:divBdr>
                <w:top w:val="none" w:sz="0" w:space="0" w:color="auto"/>
                <w:left w:val="none" w:sz="0" w:space="0" w:color="auto"/>
                <w:bottom w:val="none" w:sz="0" w:space="0" w:color="auto"/>
                <w:right w:val="none" w:sz="0" w:space="0" w:color="auto"/>
              </w:divBdr>
              <w:divsChild>
                <w:div w:id="624625992">
                  <w:marLeft w:val="0"/>
                  <w:marRight w:val="0"/>
                  <w:marTop w:val="0"/>
                  <w:marBottom w:val="0"/>
                  <w:divBdr>
                    <w:top w:val="none" w:sz="0" w:space="0" w:color="auto"/>
                    <w:left w:val="none" w:sz="0" w:space="0" w:color="auto"/>
                    <w:bottom w:val="none" w:sz="0" w:space="0" w:color="auto"/>
                    <w:right w:val="none" w:sz="0" w:space="0" w:color="auto"/>
                  </w:divBdr>
                  <w:divsChild>
                    <w:div w:id="154340130">
                      <w:marLeft w:val="0"/>
                      <w:marRight w:val="0"/>
                      <w:marTop w:val="0"/>
                      <w:marBottom w:val="0"/>
                      <w:divBdr>
                        <w:top w:val="none" w:sz="0" w:space="0" w:color="auto"/>
                        <w:left w:val="none" w:sz="0" w:space="0" w:color="auto"/>
                        <w:bottom w:val="none" w:sz="0" w:space="0" w:color="auto"/>
                        <w:right w:val="none" w:sz="0" w:space="0" w:color="auto"/>
                      </w:divBdr>
                      <w:divsChild>
                        <w:div w:id="1012412429">
                          <w:marLeft w:val="0"/>
                          <w:marRight w:val="0"/>
                          <w:marTop w:val="0"/>
                          <w:marBottom w:val="0"/>
                          <w:divBdr>
                            <w:top w:val="none" w:sz="0" w:space="0" w:color="auto"/>
                            <w:left w:val="none" w:sz="0" w:space="0" w:color="auto"/>
                            <w:bottom w:val="none" w:sz="0" w:space="0" w:color="auto"/>
                            <w:right w:val="none" w:sz="0" w:space="0" w:color="auto"/>
                          </w:divBdr>
                          <w:divsChild>
                            <w:div w:id="138340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2202068">
      <w:bodyDiv w:val="1"/>
      <w:marLeft w:val="0"/>
      <w:marRight w:val="0"/>
      <w:marTop w:val="0"/>
      <w:marBottom w:val="0"/>
      <w:divBdr>
        <w:top w:val="none" w:sz="0" w:space="0" w:color="auto"/>
        <w:left w:val="none" w:sz="0" w:space="0" w:color="auto"/>
        <w:bottom w:val="none" w:sz="0" w:space="0" w:color="auto"/>
        <w:right w:val="none" w:sz="0" w:space="0" w:color="auto"/>
      </w:divBdr>
      <w:divsChild>
        <w:div w:id="17969156">
          <w:marLeft w:val="0"/>
          <w:marRight w:val="0"/>
          <w:marTop w:val="0"/>
          <w:marBottom w:val="0"/>
          <w:divBdr>
            <w:top w:val="none" w:sz="0" w:space="0" w:color="auto"/>
            <w:left w:val="none" w:sz="0" w:space="0" w:color="auto"/>
            <w:bottom w:val="none" w:sz="0" w:space="0" w:color="auto"/>
            <w:right w:val="none" w:sz="0" w:space="0" w:color="auto"/>
          </w:divBdr>
          <w:divsChild>
            <w:div w:id="1972055914">
              <w:marLeft w:val="0"/>
              <w:marRight w:val="0"/>
              <w:marTop w:val="0"/>
              <w:marBottom w:val="0"/>
              <w:divBdr>
                <w:top w:val="none" w:sz="0" w:space="0" w:color="auto"/>
                <w:left w:val="none" w:sz="0" w:space="0" w:color="auto"/>
                <w:bottom w:val="none" w:sz="0" w:space="0" w:color="auto"/>
                <w:right w:val="none" w:sz="0" w:space="0" w:color="auto"/>
              </w:divBdr>
              <w:divsChild>
                <w:div w:id="854534673">
                  <w:marLeft w:val="0"/>
                  <w:marRight w:val="0"/>
                  <w:marTop w:val="0"/>
                  <w:marBottom w:val="0"/>
                  <w:divBdr>
                    <w:top w:val="none" w:sz="0" w:space="0" w:color="auto"/>
                    <w:left w:val="none" w:sz="0" w:space="0" w:color="auto"/>
                    <w:bottom w:val="none" w:sz="0" w:space="0" w:color="auto"/>
                    <w:right w:val="none" w:sz="0" w:space="0" w:color="auto"/>
                  </w:divBdr>
                  <w:divsChild>
                    <w:div w:id="222104578">
                      <w:marLeft w:val="0"/>
                      <w:marRight w:val="0"/>
                      <w:marTop w:val="0"/>
                      <w:marBottom w:val="0"/>
                      <w:divBdr>
                        <w:top w:val="none" w:sz="0" w:space="0" w:color="auto"/>
                        <w:left w:val="none" w:sz="0" w:space="0" w:color="auto"/>
                        <w:bottom w:val="none" w:sz="0" w:space="0" w:color="auto"/>
                        <w:right w:val="none" w:sz="0" w:space="0" w:color="auto"/>
                      </w:divBdr>
                      <w:divsChild>
                        <w:div w:id="294994001">
                          <w:marLeft w:val="0"/>
                          <w:marRight w:val="0"/>
                          <w:marTop w:val="0"/>
                          <w:marBottom w:val="0"/>
                          <w:divBdr>
                            <w:top w:val="none" w:sz="0" w:space="0" w:color="auto"/>
                            <w:left w:val="none" w:sz="0" w:space="0" w:color="auto"/>
                            <w:bottom w:val="none" w:sz="0" w:space="0" w:color="auto"/>
                            <w:right w:val="none" w:sz="0" w:space="0" w:color="auto"/>
                          </w:divBdr>
                          <w:divsChild>
                            <w:div w:id="67838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016904">
      <w:bodyDiv w:val="1"/>
      <w:marLeft w:val="0"/>
      <w:marRight w:val="0"/>
      <w:marTop w:val="0"/>
      <w:marBottom w:val="0"/>
      <w:divBdr>
        <w:top w:val="none" w:sz="0" w:space="0" w:color="auto"/>
        <w:left w:val="none" w:sz="0" w:space="0" w:color="auto"/>
        <w:bottom w:val="none" w:sz="0" w:space="0" w:color="auto"/>
        <w:right w:val="none" w:sz="0" w:space="0" w:color="auto"/>
      </w:divBdr>
      <w:divsChild>
        <w:div w:id="2094936001">
          <w:marLeft w:val="0"/>
          <w:marRight w:val="0"/>
          <w:marTop w:val="0"/>
          <w:marBottom w:val="0"/>
          <w:divBdr>
            <w:top w:val="none" w:sz="0" w:space="0" w:color="auto"/>
            <w:left w:val="none" w:sz="0" w:space="0" w:color="auto"/>
            <w:bottom w:val="none" w:sz="0" w:space="0" w:color="auto"/>
            <w:right w:val="none" w:sz="0" w:space="0" w:color="auto"/>
          </w:divBdr>
          <w:divsChild>
            <w:div w:id="948197195">
              <w:marLeft w:val="0"/>
              <w:marRight w:val="0"/>
              <w:marTop w:val="0"/>
              <w:marBottom w:val="0"/>
              <w:divBdr>
                <w:top w:val="none" w:sz="0" w:space="0" w:color="auto"/>
                <w:left w:val="none" w:sz="0" w:space="0" w:color="auto"/>
                <w:bottom w:val="none" w:sz="0" w:space="0" w:color="auto"/>
                <w:right w:val="none" w:sz="0" w:space="0" w:color="auto"/>
              </w:divBdr>
              <w:divsChild>
                <w:div w:id="146212709">
                  <w:marLeft w:val="0"/>
                  <w:marRight w:val="0"/>
                  <w:marTop w:val="0"/>
                  <w:marBottom w:val="0"/>
                  <w:divBdr>
                    <w:top w:val="none" w:sz="0" w:space="0" w:color="auto"/>
                    <w:left w:val="none" w:sz="0" w:space="0" w:color="auto"/>
                    <w:bottom w:val="none" w:sz="0" w:space="0" w:color="auto"/>
                    <w:right w:val="none" w:sz="0" w:space="0" w:color="auto"/>
                  </w:divBdr>
                  <w:divsChild>
                    <w:div w:id="1142387557">
                      <w:marLeft w:val="0"/>
                      <w:marRight w:val="0"/>
                      <w:marTop w:val="0"/>
                      <w:marBottom w:val="0"/>
                      <w:divBdr>
                        <w:top w:val="none" w:sz="0" w:space="0" w:color="auto"/>
                        <w:left w:val="none" w:sz="0" w:space="0" w:color="auto"/>
                        <w:bottom w:val="none" w:sz="0" w:space="0" w:color="auto"/>
                        <w:right w:val="none" w:sz="0" w:space="0" w:color="auto"/>
                      </w:divBdr>
                      <w:divsChild>
                        <w:div w:id="1288120968">
                          <w:marLeft w:val="0"/>
                          <w:marRight w:val="0"/>
                          <w:marTop w:val="0"/>
                          <w:marBottom w:val="0"/>
                          <w:divBdr>
                            <w:top w:val="none" w:sz="0" w:space="0" w:color="auto"/>
                            <w:left w:val="none" w:sz="0" w:space="0" w:color="auto"/>
                            <w:bottom w:val="none" w:sz="0" w:space="0" w:color="auto"/>
                            <w:right w:val="none" w:sz="0" w:space="0" w:color="auto"/>
                          </w:divBdr>
                          <w:divsChild>
                            <w:div w:id="193431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6724018">
      <w:bodyDiv w:val="1"/>
      <w:marLeft w:val="0"/>
      <w:marRight w:val="0"/>
      <w:marTop w:val="0"/>
      <w:marBottom w:val="0"/>
      <w:divBdr>
        <w:top w:val="none" w:sz="0" w:space="0" w:color="auto"/>
        <w:left w:val="none" w:sz="0" w:space="0" w:color="auto"/>
        <w:bottom w:val="none" w:sz="0" w:space="0" w:color="auto"/>
        <w:right w:val="none" w:sz="0" w:space="0" w:color="auto"/>
      </w:divBdr>
      <w:divsChild>
        <w:div w:id="924800664">
          <w:marLeft w:val="0"/>
          <w:marRight w:val="0"/>
          <w:marTop w:val="0"/>
          <w:marBottom w:val="0"/>
          <w:divBdr>
            <w:top w:val="none" w:sz="0" w:space="0" w:color="auto"/>
            <w:left w:val="none" w:sz="0" w:space="0" w:color="auto"/>
            <w:bottom w:val="none" w:sz="0" w:space="0" w:color="auto"/>
            <w:right w:val="none" w:sz="0" w:space="0" w:color="auto"/>
          </w:divBdr>
          <w:divsChild>
            <w:div w:id="1600219008">
              <w:marLeft w:val="0"/>
              <w:marRight w:val="0"/>
              <w:marTop w:val="0"/>
              <w:marBottom w:val="0"/>
              <w:divBdr>
                <w:top w:val="none" w:sz="0" w:space="0" w:color="auto"/>
                <w:left w:val="none" w:sz="0" w:space="0" w:color="auto"/>
                <w:bottom w:val="none" w:sz="0" w:space="0" w:color="auto"/>
                <w:right w:val="none" w:sz="0" w:space="0" w:color="auto"/>
              </w:divBdr>
              <w:divsChild>
                <w:div w:id="1982154899">
                  <w:marLeft w:val="0"/>
                  <w:marRight w:val="0"/>
                  <w:marTop w:val="0"/>
                  <w:marBottom w:val="0"/>
                  <w:divBdr>
                    <w:top w:val="none" w:sz="0" w:space="0" w:color="auto"/>
                    <w:left w:val="none" w:sz="0" w:space="0" w:color="auto"/>
                    <w:bottom w:val="none" w:sz="0" w:space="0" w:color="auto"/>
                    <w:right w:val="none" w:sz="0" w:space="0" w:color="auto"/>
                  </w:divBdr>
                  <w:divsChild>
                    <w:div w:id="2099709135">
                      <w:marLeft w:val="0"/>
                      <w:marRight w:val="0"/>
                      <w:marTop w:val="0"/>
                      <w:marBottom w:val="0"/>
                      <w:divBdr>
                        <w:top w:val="none" w:sz="0" w:space="0" w:color="auto"/>
                        <w:left w:val="none" w:sz="0" w:space="0" w:color="auto"/>
                        <w:bottom w:val="none" w:sz="0" w:space="0" w:color="auto"/>
                        <w:right w:val="none" w:sz="0" w:space="0" w:color="auto"/>
                      </w:divBdr>
                      <w:divsChild>
                        <w:div w:id="1637175528">
                          <w:marLeft w:val="0"/>
                          <w:marRight w:val="0"/>
                          <w:marTop w:val="0"/>
                          <w:marBottom w:val="0"/>
                          <w:divBdr>
                            <w:top w:val="none" w:sz="0" w:space="0" w:color="auto"/>
                            <w:left w:val="none" w:sz="0" w:space="0" w:color="auto"/>
                            <w:bottom w:val="none" w:sz="0" w:space="0" w:color="auto"/>
                            <w:right w:val="none" w:sz="0" w:space="0" w:color="auto"/>
                          </w:divBdr>
                          <w:divsChild>
                            <w:div w:id="196126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2431239">
      <w:bodyDiv w:val="1"/>
      <w:marLeft w:val="0"/>
      <w:marRight w:val="0"/>
      <w:marTop w:val="0"/>
      <w:marBottom w:val="0"/>
      <w:divBdr>
        <w:top w:val="none" w:sz="0" w:space="0" w:color="auto"/>
        <w:left w:val="none" w:sz="0" w:space="0" w:color="auto"/>
        <w:bottom w:val="none" w:sz="0" w:space="0" w:color="auto"/>
        <w:right w:val="none" w:sz="0" w:space="0" w:color="auto"/>
      </w:divBdr>
      <w:divsChild>
        <w:div w:id="615136164">
          <w:marLeft w:val="0"/>
          <w:marRight w:val="0"/>
          <w:marTop w:val="0"/>
          <w:marBottom w:val="0"/>
          <w:divBdr>
            <w:top w:val="none" w:sz="0" w:space="0" w:color="auto"/>
            <w:left w:val="none" w:sz="0" w:space="0" w:color="auto"/>
            <w:bottom w:val="none" w:sz="0" w:space="0" w:color="auto"/>
            <w:right w:val="none" w:sz="0" w:space="0" w:color="auto"/>
          </w:divBdr>
          <w:divsChild>
            <w:div w:id="207650168">
              <w:marLeft w:val="0"/>
              <w:marRight w:val="0"/>
              <w:marTop w:val="0"/>
              <w:marBottom w:val="0"/>
              <w:divBdr>
                <w:top w:val="none" w:sz="0" w:space="0" w:color="auto"/>
                <w:left w:val="none" w:sz="0" w:space="0" w:color="auto"/>
                <w:bottom w:val="none" w:sz="0" w:space="0" w:color="auto"/>
                <w:right w:val="none" w:sz="0" w:space="0" w:color="auto"/>
              </w:divBdr>
              <w:divsChild>
                <w:div w:id="1802650395">
                  <w:marLeft w:val="0"/>
                  <w:marRight w:val="0"/>
                  <w:marTop w:val="0"/>
                  <w:marBottom w:val="0"/>
                  <w:divBdr>
                    <w:top w:val="none" w:sz="0" w:space="0" w:color="auto"/>
                    <w:left w:val="none" w:sz="0" w:space="0" w:color="auto"/>
                    <w:bottom w:val="none" w:sz="0" w:space="0" w:color="auto"/>
                    <w:right w:val="none" w:sz="0" w:space="0" w:color="auto"/>
                  </w:divBdr>
                  <w:divsChild>
                    <w:div w:id="770979570">
                      <w:marLeft w:val="0"/>
                      <w:marRight w:val="0"/>
                      <w:marTop w:val="0"/>
                      <w:marBottom w:val="0"/>
                      <w:divBdr>
                        <w:top w:val="none" w:sz="0" w:space="0" w:color="auto"/>
                        <w:left w:val="none" w:sz="0" w:space="0" w:color="auto"/>
                        <w:bottom w:val="none" w:sz="0" w:space="0" w:color="auto"/>
                        <w:right w:val="none" w:sz="0" w:space="0" w:color="auto"/>
                      </w:divBdr>
                      <w:divsChild>
                        <w:div w:id="2103723654">
                          <w:marLeft w:val="0"/>
                          <w:marRight w:val="0"/>
                          <w:marTop w:val="0"/>
                          <w:marBottom w:val="0"/>
                          <w:divBdr>
                            <w:top w:val="none" w:sz="0" w:space="0" w:color="auto"/>
                            <w:left w:val="none" w:sz="0" w:space="0" w:color="auto"/>
                            <w:bottom w:val="none" w:sz="0" w:space="0" w:color="auto"/>
                            <w:right w:val="none" w:sz="0" w:space="0" w:color="auto"/>
                          </w:divBdr>
                          <w:divsChild>
                            <w:div w:id="99178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343173">
      <w:bodyDiv w:val="1"/>
      <w:marLeft w:val="0"/>
      <w:marRight w:val="0"/>
      <w:marTop w:val="0"/>
      <w:marBottom w:val="0"/>
      <w:divBdr>
        <w:top w:val="none" w:sz="0" w:space="0" w:color="auto"/>
        <w:left w:val="none" w:sz="0" w:space="0" w:color="auto"/>
        <w:bottom w:val="none" w:sz="0" w:space="0" w:color="auto"/>
        <w:right w:val="none" w:sz="0" w:space="0" w:color="auto"/>
      </w:divBdr>
      <w:divsChild>
        <w:div w:id="1394810329">
          <w:marLeft w:val="0"/>
          <w:marRight w:val="0"/>
          <w:marTop w:val="0"/>
          <w:marBottom w:val="0"/>
          <w:divBdr>
            <w:top w:val="none" w:sz="0" w:space="0" w:color="auto"/>
            <w:left w:val="none" w:sz="0" w:space="0" w:color="auto"/>
            <w:bottom w:val="none" w:sz="0" w:space="0" w:color="auto"/>
            <w:right w:val="none" w:sz="0" w:space="0" w:color="auto"/>
          </w:divBdr>
          <w:divsChild>
            <w:div w:id="1022583940">
              <w:marLeft w:val="0"/>
              <w:marRight w:val="0"/>
              <w:marTop w:val="0"/>
              <w:marBottom w:val="0"/>
              <w:divBdr>
                <w:top w:val="none" w:sz="0" w:space="0" w:color="auto"/>
                <w:left w:val="none" w:sz="0" w:space="0" w:color="auto"/>
                <w:bottom w:val="none" w:sz="0" w:space="0" w:color="auto"/>
                <w:right w:val="none" w:sz="0" w:space="0" w:color="auto"/>
              </w:divBdr>
              <w:divsChild>
                <w:div w:id="415135404">
                  <w:marLeft w:val="0"/>
                  <w:marRight w:val="0"/>
                  <w:marTop w:val="0"/>
                  <w:marBottom w:val="0"/>
                  <w:divBdr>
                    <w:top w:val="none" w:sz="0" w:space="0" w:color="auto"/>
                    <w:left w:val="none" w:sz="0" w:space="0" w:color="auto"/>
                    <w:bottom w:val="none" w:sz="0" w:space="0" w:color="auto"/>
                    <w:right w:val="none" w:sz="0" w:space="0" w:color="auto"/>
                  </w:divBdr>
                  <w:divsChild>
                    <w:div w:id="686836135">
                      <w:marLeft w:val="0"/>
                      <w:marRight w:val="0"/>
                      <w:marTop w:val="0"/>
                      <w:marBottom w:val="0"/>
                      <w:divBdr>
                        <w:top w:val="none" w:sz="0" w:space="0" w:color="auto"/>
                        <w:left w:val="none" w:sz="0" w:space="0" w:color="auto"/>
                        <w:bottom w:val="none" w:sz="0" w:space="0" w:color="auto"/>
                        <w:right w:val="none" w:sz="0" w:space="0" w:color="auto"/>
                      </w:divBdr>
                      <w:divsChild>
                        <w:div w:id="824662974">
                          <w:marLeft w:val="0"/>
                          <w:marRight w:val="0"/>
                          <w:marTop w:val="0"/>
                          <w:marBottom w:val="0"/>
                          <w:divBdr>
                            <w:top w:val="none" w:sz="0" w:space="0" w:color="auto"/>
                            <w:left w:val="none" w:sz="0" w:space="0" w:color="auto"/>
                            <w:bottom w:val="none" w:sz="0" w:space="0" w:color="auto"/>
                            <w:right w:val="none" w:sz="0" w:space="0" w:color="auto"/>
                          </w:divBdr>
                          <w:divsChild>
                            <w:div w:id="130836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2707792">
      <w:bodyDiv w:val="1"/>
      <w:marLeft w:val="0"/>
      <w:marRight w:val="0"/>
      <w:marTop w:val="0"/>
      <w:marBottom w:val="0"/>
      <w:divBdr>
        <w:top w:val="none" w:sz="0" w:space="0" w:color="auto"/>
        <w:left w:val="none" w:sz="0" w:space="0" w:color="auto"/>
        <w:bottom w:val="none" w:sz="0" w:space="0" w:color="auto"/>
        <w:right w:val="none" w:sz="0" w:space="0" w:color="auto"/>
      </w:divBdr>
      <w:divsChild>
        <w:div w:id="1886064695">
          <w:marLeft w:val="0"/>
          <w:marRight w:val="0"/>
          <w:marTop w:val="0"/>
          <w:marBottom w:val="0"/>
          <w:divBdr>
            <w:top w:val="single" w:sz="2" w:space="0" w:color="2E2E2E"/>
            <w:left w:val="single" w:sz="2" w:space="0" w:color="2E2E2E"/>
            <w:bottom w:val="single" w:sz="2" w:space="0" w:color="2E2E2E"/>
            <w:right w:val="single" w:sz="2" w:space="0" w:color="2E2E2E"/>
          </w:divBdr>
          <w:divsChild>
            <w:div w:id="1160004005">
              <w:marLeft w:val="0"/>
              <w:marRight w:val="0"/>
              <w:marTop w:val="0"/>
              <w:marBottom w:val="0"/>
              <w:divBdr>
                <w:top w:val="single" w:sz="6" w:space="0" w:color="C9C9C9"/>
                <w:left w:val="none" w:sz="0" w:space="0" w:color="auto"/>
                <w:bottom w:val="none" w:sz="0" w:space="0" w:color="auto"/>
                <w:right w:val="none" w:sz="0" w:space="0" w:color="auto"/>
              </w:divBdr>
              <w:divsChild>
                <w:div w:id="659622437">
                  <w:marLeft w:val="0"/>
                  <w:marRight w:val="0"/>
                  <w:marTop w:val="0"/>
                  <w:marBottom w:val="0"/>
                  <w:divBdr>
                    <w:top w:val="none" w:sz="0" w:space="0" w:color="auto"/>
                    <w:left w:val="none" w:sz="0" w:space="0" w:color="auto"/>
                    <w:bottom w:val="none" w:sz="0" w:space="0" w:color="auto"/>
                    <w:right w:val="none" w:sz="0" w:space="0" w:color="auto"/>
                  </w:divBdr>
                  <w:divsChild>
                    <w:div w:id="260379740">
                      <w:marLeft w:val="0"/>
                      <w:marRight w:val="0"/>
                      <w:marTop w:val="0"/>
                      <w:marBottom w:val="0"/>
                      <w:divBdr>
                        <w:top w:val="none" w:sz="0" w:space="0" w:color="auto"/>
                        <w:left w:val="none" w:sz="0" w:space="0" w:color="auto"/>
                        <w:bottom w:val="none" w:sz="0" w:space="0" w:color="auto"/>
                        <w:right w:val="none" w:sz="0" w:space="0" w:color="auto"/>
                      </w:divBdr>
                      <w:divsChild>
                        <w:div w:id="57829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5696425">
      <w:bodyDiv w:val="1"/>
      <w:marLeft w:val="0"/>
      <w:marRight w:val="0"/>
      <w:marTop w:val="0"/>
      <w:marBottom w:val="0"/>
      <w:divBdr>
        <w:top w:val="none" w:sz="0" w:space="0" w:color="auto"/>
        <w:left w:val="none" w:sz="0" w:space="0" w:color="auto"/>
        <w:bottom w:val="none" w:sz="0" w:space="0" w:color="auto"/>
        <w:right w:val="none" w:sz="0" w:space="0" w:color="auto"/>
      </w:divBdr>
      <w:divsChild>
        <w:div w:id="339355959">
          <w:marLeft w:val="0"/>
          <w:marRight w:val="0"/>
          <w:marTop w:val="0"/>
          <w:marBottom w:val="0"/>
          <w:divBdr>
            <w:top w:val="none" w:sz="0" w:space="0" w:color="auto"/>
            <w:left w:val="none" w:sz="0" w:space="0" w:color="auto"/>
            <w:bottom w:val="none" w:sz="0" w:space="0" w:color="auto"/>
            <w:right w:val="none" w:sz="0" w:space="0" w:color="auto"/>
          </w:divBdr>
          <w:divsChild>
            <w:div w:id="323051771">
              <w:marLeft w:val="0"/>
              <w:marRight w:val="0"/>
              <w:marTop w:val="0"/>
              <w:marBottom w:val="0"/>
              <w:divBdr>
                <w:top w:val="none" w:sz="0" w:space="0" w:color="auto"/>
                <w:left w:val="none" w:sz="0" w:space="0" w:color="auto"/>
                <w:bottom w:val="none" w:sz="0" w:space="0" w:color="auto"/>
                <w:right w:val="none" w:sz="0" w:space="0" w:color="auto"/>
              </w:divBdr>
              <w:divsChild>
                <w:div w:id="2079279366">
                  <w:marLeft w:val="0"/>
                  <w:marRight w:val="0"/>
                  <w:marTop w:val="0"/>
                  <w:marBottom w:val="0"/>
                  <w:divBdr>
                    <w:top w:val="none" w:sz="0" w:space="0" w:color="auto"/>
                    <w:left w:val="none" w:sz="0" w:space="0" w:color="auto"/>
                    <w:bottom w:val="none" w:sz="0" w:space="0" w:color="auto"/>
                    <w:right w:val="none" w:sz="0" w:space="0" w:color="auto"/>
                  </w:divBdr>
                  <w:divsChild>
                    <w:div w:id="1206914446">
                      <w:marLeft w:val="0"/>
                      <w:marRight w:val="0"/>
                      <w:marTop w:val="0"/>
                      <w:marBottom w:val="0"/>
                      <w:divBdr>
                        <w:top w:val="none" w:sz="0" w:space="0" w:color="auto"/>
                        <w:left w:val="none" w:sz="0" w:space="0" w:color="auto"/>
                        <w:bottom w:val="none" w:sz="0" w:space="0" w:color="auto"/>
                        <w:right w:val="none" w:sz="0" w:space="0" w:color="auto"/>
                      </w:divBdr>
                      <w:divsChild>
                        <w:div w:id="363754105">
                          <w:marLeft w:val="0"/>
                          <w:marRight w:val="0"/>
                          <w:marTop w:val="0"/>
                          <w:marBottom w:val="0"/>
                          <w:divBdr>
                            <w:top w:val="none" w:sz="0" w:space="0" w:color="auto"/>
                            <w:left w:val="none" w:sz="0" w:space="0" w:color="auto"/>
                            <w:bottom w:val="none" w:sz="0" w:space="0" w:color="auto"/>
                            <w:right w:val="none" w:sz="0" w:space="0" w:color="auto"/>
                          </w:divBdr>
                          <w:divsChild>
                            <w:div w:id="153703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862671">
      <w:bodyDiv w:val="1"/>
      <w:marLeft w:val="0"/>
      <w:marRight w:val="0"/>
      <w:marTop w:val="0"/>
      <w:marBottom w:val="0"/>
      <w:divBdr>
        <w:top w:val="none" w:sz="0" w:space="0" w:color="auto"/>
        <w:left w:val="none" w:sz="0" w:space="0" w:color="auto"/>
        <w:bottom w:val="none" w:sz="0" w:space="0" w:color="auto"/>
        <w:right w:val="none" w:sz="0" w:space="0" w:color="auto"/>
      </w:divBdr>
      <w:divsChild>
        <w:div w:id="814180977">
          <w:marLeft w:val="0"/>
          <w:marRight w:val="0"/>
          <w:marTop w:val="0"/>
          <w:marBottom w:val="0"/>
          <w:divBdr>
            <w:top w:val="none" w:sz="0" w:space="0" w:color="auto"/>
            <w:left w:val="none" w:sz="0" w:space="0" w:color="auto"/>
            <w:bottom w:val="none" w:sz="0" w:space="0" w:color="auto"/>
            <w:right w:val="none" w:sz="0" w:space="0" w:color="auto"/>
          </w:divBdr>
          <w:divsChild>
            <w:div w:id="1544517288">
              <w:marLeft w:val="0"/>
              <w:marRight w:val="0"/>
              <w:marTop w:val="0"/>
              <w:marBottom w:val="0"/>
              <w:divBdr>
                <w:top w:val="none" w:sz="0" w:space="0" w:color="auto"/>
                <w:left w:val="none" w:sz="0" w:space="0" w:color="auto"/>
                <w:bottom w:val="none" w:sz="0" w:space="0" w:color="auto"/>
                <w:right w:val="none" w:sz="0" w:space="0" w:color="auto"/>
              </w:divBdr>
              <w:divsChild>
                <w:div w:id="1843086166">
                  <w:marLeft w:val="0"/>
                  <w:marRight w:val="0"/>
                  <w:marTop w:val="0"/>
                  <w:marBottom w:val="0"/>
                  <w:divBdr>
                    <w:top w:val="none" w:sz="0" w:space="0" w:color="auto"/>
                    <w:left w:val="none" w:sz="0" w:space="0" w:color="auto"/>
                    <w:bottom w:val="none" w:sz="0" w:space="0" w:color="auto"/>
                    <w:right w:val="none" w:sz="0" w:space="0" w:color="auto"/>
                  </w:divBdr>
                  <w:divsChild>
                    <w:div w:id="1094588734">
                      <w:marLeft w:val="0"/>
                      <w:marRight w:val="0"/>
                      <w:marTop w:val="0"/>
                      <w:marBottom w:val="0"/>
                      <w:divBdr>
                        <w:top w:val="none" w:sz="0" w:space="0" w:color="auto"/>
                        <w:left w:val="none" w:sz="0" w:space="0" w:color="auto"/>
                        <w:bottom w:val="none" w:sz="0" w:space="0" w:color="auto"/>
                        <w:right w:val="none" w:sz="0" w:space="0" w:color="auto"/>
                      </w:divBdr>
                      <w:divsChild>
                        <w:div w:id="1580288554">
                          <w:marLeft w:val="0"/>
                          <w:marRight w:val="0"/>
                          <w:marTop w:val="0"/>
                          <w:marBottom w:val="0"/>
                          <w:divBdr>
                            <w:top w:val="none" w:sz="0" w:space="0" w:color="auto"/>
                            <w:left w:val="none" w:sz="0" w:space="0" w:color="auto"/>
                            <w:bottom w:val="none" w:sz="0" w:space="0" w:color="auto"/>
                            <w:right w:val="none" w:sz="0" w:space="0" w:color="auto"/>
                          </w:divBdr>
                          <w:divsChild>
                            <w:div w:id="77879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177752">
      <w:bodyDiv w:val="1"/>
      <w:marLeft w:val="0"/>
      <w:marRight w:val="0"/>
      <w:marTop w:val="0"/>
      <w:marBottom w:val="0"/>
      <w:divBdr>
        <w:top w:val="none" w:sz="0" w:space="0" w:color="auto"/>
        <w:left w:val="none" w:sz="0" w:space="0" w:color="auto"/>
        <w:bottom w:val="none" w:sz="0" w:space="0" w:color="auto"/>
        <w:right w:val="none" w:sz="0" w:space="0" w:color="auto"/>
      </w:divBdr>
      <w:divsChild>
        <w:div w:id="734738684">
          <w:marLeft w:val="0"/>
          <w:marRight w:val="0"/>
          <w:marTop w:val="0"/>
          <w:marBottom w:val="0"/>
          <w:divBdr>
            <w:top w:val="none" w:sz="0" w:space="0" w:color="auto"/>
            <w:left w:val="none" w:sz="0" w:space="0" w:color="auto"/>
            <w:bottom w:val="none" w:sz="0" w:space="0" w:color="auto"/>
            <w:right w:val="none" w:sz="0" w:space="0" w:color="auto"/>
          </w:divBdr>
          <w:divsChild>
            <w:div w:id="872157667">
              <w:marLeft w:val="0"/>
              <w:marRight w:val="0"/>
              <w:marTop w:val="0"/>
              <w:marBottom w:val="0"/>
              <w:divBdr>
                <w:top w:val="none" w:sz="0" w:space="0" w:color="auto"/>
                <w:left w:val="none" w:sz="0" w:space="0" w:color="auto"/>
                <w:bottom w:val="none" w:sz="0" w:space="0" w:color="auto"/>
                <w:right w:val="none" w:sz="0" w:space="0" w:color="auto"/>
              </w:divBdr>
              <w:divsChild>
                <w:div w:id="364018858">
                  <w:marLeft w:val="0"/>
                  <w:marRight w:val="0"/>
                  <w:marTop w:val="0"/>
                  <w:marBottom w:val="0"/>
                  <w:divBdr>
                    <w:top w:val="none" w:sz="0" w:space="0" w:color="auto"/>
                    <w:left w:val="none" w:sz="0" w:space="0" w:color="auto"/>
                    <w:bottom w:val="none" w:sz="0" w:space="0" w:color="auto"/>
                    <w:right w:val="none" w:sz="0" w:space="0" w:color="auto"/>
                  </w:divBdr>
                  <w:divsChild>
                    <w:div w:id="330183591">
                      <w:marLeft w:val="0"/>
                      <w:marRight w:val="0"/>
                      <w:marTop w:val="0"/>
                      <w:marBottom w:val="0"/>
                      <w:divBdr>
                        <w:top w:val="none" w:sz="0" w:space="0" w:color="auto"/>
                        <w:left w:val="none" w:sz="0" w:space="0" w:color="auto"/>
                        <w:bottom w:val="none" w:sz="0" w:space="0" w:color="auto"/>
                        <w:right w:val="none" w:sz="0" w:space="0" w:color="auto"/>
                      </w:divBdr>
                      <w:divsChild>
                        <w:div w:id="813564185">
                          <w:marLeft w:val="0"/>
                          <w:marRight w:val="0"/>
                          <w:marTop w:val="0"/>
                          <w:marBottom w:val="0"/>
                          <w:divBdr>
                            <w:top w:val="none" w:sz="0" w:space="0" w:color="auto"/>
                            <w:left w:val="none" w:sz="0" w:space="0" w:color="auto"/>
                            <w:bottom w:val="none" w:sz="0" w:space="0" w:color="auto"/>
                            <w:right w:val="none" w:sz="0" w:space="0" w:color="auto"/>
                          </w:divBdr>
                          <w:divsChild>
                            <w:div w:id="189342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198027">
      <w:bodyDiv w:val="1"/>
      <w:marLeft w:val="0"/>
      <w:marRight w:val="0"/>
      <w:marTop w:val="0"/>
      <w:marBottom w:val="0"/>
      <w:divBdr>
        <w:top w:val="none" w:sz="0" w:space="0" w:color="auto"/>
        <w:left w:val="none" w:sz="0" w:space="0" w:color="auto"/>
        <w:bottom w:val="none" w:sz="0" w:space="0" w:color="auto"/>
        <w:right w:val="none" w:sz="0" w:space="0" w:color="auto"/>
      </w:divBdr>
      <w:divsChild>
        <w:div w:id="1679312845">
          <w:marLeft w:val="0"/>
          <w:marRight w:val="0"/>
          <w:marTop w:val="0"/>
          <w:marBottom w:val="0"/>
          <w:divBdr>
            <w:top w:val="none" w:sz="0" w:space="0" w:color="auto"/>
            <w:left w:val="none" w:sz="0" w:space="0" w:color="auto"/>
            <w:bottom w:val="none" w:sz="0" w:space="0" w:color="auto"/>
            <w:right w:val="none" w:sz="0" w:space="0" w:color="auto"/>
          </w:divBdr>
          <w:divsChild>
            <w:div w:id="1621917467">
              <w:marLeft w:val="0"/>
              <w:marRight w:val="0"/>
              <w:marTop w:val="0"/>
              <w:marBottom w:val="0"/>
              <w:divBdr>
                <w:top w:val="none" w:sz="0" w:space="0" w:color="auto"/>
                <w:left w:val="none" w:sz="0" w:space="0" w:color="auto"/>
                <w:bottom w:val="none" w:sz="0" w:space="0" w:color="auto"/>
                <w:right w:val="none" w:sz="0" w:space="0" w:color="auto"/>
              </w:divBdr>
              <w:divsChild>
                <w:div w:id="181475412">
                  <w:marLeft w:val="0"/>
                  <w:marRight w:val="0"/>
                  <w:marTop w:val="0"/>
                  <w:marBottom w:val="0"/>
                  <w:divBdr>
                    <w:top w:val="none" w:sz="0" w:space="0" w:color="auto"/>
                    <w:left w:val="none" w:sz="0" w:space="0" w:color="auto"/>
                    <w:bottom w:val="none" w:sz="0" w:space="0" w:color="auto"/>
                    <w:right w:val="none" w:sz="0" w:space="0" w:color="auto"/>
                  </w:divBdr>
                  <w:divsChild>
                    <w:div w:id="1450860944">
                      <w:marLeft w:val="0"/>
                      <w:marRight w:val="0"/>
                      <w:marTop w:val="0"/>
                      <w:marBottom w:val="0"/>
                      <w:divBdr>
                        <w:top w:val="none" w:sz="0" w:space="0" w:color="auto"/>
                        <w:left w:val="none" w:sz="0" w:space="0" w:color="auto"/>
                        <w:bottom w:val="none" w:sz="0" w:space="0" w:color="auto"/>
                        <w:right w:val="none" w:sz="0" w:space="0" w:color="auto"/>
                      </w:divBdr>
                    </w:div>
                    <w:div w:id="1875458624">
                      <w:marLeft w:val="0"/>
                      <w:marRight w:val="0"/>
                      <w:marTop w:val="0"/>
                      <w:marBottom w:val="0"/>
                      <w:divBdr>
                        <w:top w:val="none" w:sz="0" w:space="0" w:color="auto"/>
                        <w:left w:val="none" w:sz="0" w:space="0" w:color="auto"/>
                        <w:bottom w:val="none" w:sz="0" w:space="0" w:color="auto"/>
                        <w:right w:val="none" w:sz="0" w:space="0" w:color="auto"/>
                      </w:divBdr>
                    </w:div>
                    <w:div w:id="129598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282651">
      <w:bodyDiv w:val="1"/>
      <w:marLeft w:val="0"/>
      <w:marRight w:val="0"/>
      <w:marTop w:val="0"/>
      <w:marBottom w:val="0"/>
      <w:divBdr>
        <w:top w:val="none" w:sz="0" w:space="0" w:color="auto"/>
        <w:left w:val="none" w:sz="0" w:space="0" w:color="auto"/>
        <w:bottom w:val="none" w:sz="0" w:space="0" w:color="auto"/>
        <w:right w:val="none" w:sz="0" w:space="0" w:color="auto"/>
      </w:divBdr>
      <w:divsChild>
        <w:div w:id="1339894354">
          <w:marLeft w:val="0"/>
          <w:marRight w:val="0"/>
          <w:marTop w:val="0"/>
          <w:marBottom w:val="0"/>
          <w:divBdr>
            <w:top w:val="none" w:sz="0" w:space="0" w:color="auto"/>
            <w:left w:val="none" w:sz="0" w:space="0" w:color="auto"/>
            <w:bottom w:val="none" w:sz="0" w:space="0" w:color="auto"/>
            <w:right w:val="none" w:sz="0" w:space="0" w:color="auto"/>
          </w:divBdr>
          <w:divsChild>
            <w:div w:id="27295111">
              <w:marLeft w:val="0"/>
              <w:marRight w:val="0"/>
              <w:marTop w:val="0"/>
              <w:marBottom w:val="0"/>
              <w:divBdr>
                <w:top w:val="none" w:sz="0" w:space="0" w:color="auto"/>
                <w:left w:val="none" w:sz="0" w:space="0" w:color="auto"/>
                <w:bottom w:val="none" w:sz="0" w:space="0" w:color="auto"/>
                <w:right w:val="none" w:sz="0" w:space="0" w:color="auto"/>
              </w:divBdr>
              <w:divsChild>
                <w:div w:id="548802541">
                  <w:marLeft w:val="0"/>
                  <w:marRight w:val="0"/>
                  <w:marTop w:val="0"/>
                  <w:marBottom w:val="0"/>
                  <w:divBdr>
                    <w:top w:val="none" w:sz="0" w:space="0" w:color="auto"/>
                    <w:left w:val="none" w:sz="0" w:space="0" w:color="auto"/>
                    <w:bottom w:val="none" w:sz="0" w:space="0" w:color="auto"/>
                    <w:right w:val="none" w:sz="0" w:space="0" w:color="auto"/>
                  </w:divBdr>
                  <w:divsChild>
                    <w:div w:id="1433890968">
                      <w:marLeft w:val="0"/>
                      <w:marRight w:val="0"/>
                      <w:marTop w:val="0"/>
                      <w:marBottom w:val="0"/>
                      <w:divBdr>
                        <w:top w:val="none" w:sz="0" w:space="0" w:color="auto"/>
                        <w:left w:val="none" w:sz="0" w:space="0" w:color="auto"/>
                        <w:bottom w:val="none" w:sz="0" w:space="0" w:color="auto"/>
                        <w:right w:val="none" w:sz="0" w:space="0" w:color="auto"/>
                      </w:divBdr>
                      <w:divsChild>
                        <w:div w:id="163085233">
                          <w:marLeft w:val="0"/>
                          <w:marRight w:val="0"/>
                          <w:marTop w:val="0"/>
                          <w:marBottom w:val="0"/>
                          <w:divBdr>
                            <w:top w:val="none" w:sz="0" w:space="0" w:color="auto"/>
                            <w:left w:val="none" w:sz="0" w:space="0" w:color="auto"/>
                            <w:bottom w:val="none" w:sz="0" w:space="0" w:color="auto"/>
                            <w:right w:val="none" w:sz="0" w:space="0" w:color="auto"/>
                          </w:divBdr>
                          <w:divsChild>
                            <w:div w:id="92838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008404">
      <w:bodyDiv w:val="1"/>
      <w:marLeft w:val="0"/>
      <w:marRight w:val="0"/>
      <w:marTop w:val="0"/>
      <w:marBottom w:val="0"/>
      <w:divBdr>
        <w:top w:val="none" w:sz="0" w:space="0" w:color="auto"/>
        <w:left w:val="none" w:sz="0" w:space="0" w:color="auto"/>
        <w:bottom w:val="none" w:sz="0" w:space="0" w:color="auto"/>
        <w:right w:val="none" w:sz="0" w:space="0" w:color="auto"/>
      </w:divBdr>
      <w:divsChild>
        <w:div w:id="1575238291">
          <w:marLeft w:val="0"/>
          <w:marRight w:val="0"/>
          <w:marTop w:val="0"/>
          <w:marBottom w:val="0"/>
          <w:divBdr>
            <w:top w:val="none" w:sz="0" w:space="0" w:color="auto"/>
            <w:left w:val="none" w:sz="0" w:space="0" w:color="auto"/>
            <w:bottom w:val="none" w:sz="0" w:space="0" w:color="auto"/>
            <w:right w:val="none" w:sz="0" w:space="0" w:color="auto"/>
          </w:divBdr>
          <w:divsChild>
            <w:div w:id="691224523">
              <w:marLeft w:val="0"/>
              <w:marRight w:val="0"/>
              <w:marTop w:val="0"/>
              <w:marBottom w:val="0"/>
              <w:divBdr>
                <w:top w:val="none" w:sz="0" w:space="0" w:color="auto"/>
                <w:left w:val="none" w:sz="0" w:space="0" w:color="auto"/>
                <w:bottom w:val="none" w:sz="0" w:space="0" w:color="auto"/>
                <w:right w:val="none" w:sz="0" w:space="0" w:color="auto"/>
              </w:divBdr>
              <w:divsChild>
                <w:div w:id="1745107733">
                  <w:marLeft w:val="0"/>
                  <w:marRight w:val="0"/>
                  <w:marTop w:val="0"/>
                  <w:marBottom w:val="0"/>
                  <w:divBdr>
                    <w:top w:val="none" w:sz="0" w:space="0" w:color="auto"/>
                    <w:left w:val="none" w:sz="0" w:space="0" w:color="auto"/>
                    <w:bottom w:val="none" w:sz="0" w:space="0" w:color="auto"/>
                    <w:right w:val="none" w:sz="0" w:space="0" w:color="auto"/>
                  </w:divBdr>
                  <w:divsChild>
                    <w:div w:id="317732043">
                      <w:marLeft w:val="0"/>
                      <w:marRight w:val="0"/>
                      <w:marTop w:val="0"/>
                      <w:marBottom w:val="0"/>
                      <w:divBdr>
                        <w:top w:val="none" w:sz="0" w:space="0" w:color="auto"/>
                        <w:left w:val="none" w:sz="0" w:space="0" w:color="auto"/>
                        <w:bottom w:val="none" w:sz="0" w:space="0" w:color="auto"/>
                        <w:right w:val="none" w:sz="0" w:space="0" w:color="auto"/>
                      </w:divBdr>
                      <w:divsChild>
                        <w:div w:id="398985477">
                          <w:marLeft w:val="0"/>
                          <w:marRight w:val="0"/>
                          <w:marTop w:val="0"/>
                          <w:marBottom w:val="0"/>
                          <w:divBdr>
                            <w:top w:val="none" w:sz="0" w:space="0" w:color="auto"/>
                            <w:left w:val="none" w:sz="0" w:space="0" w:color="auto"/>
                            <w:bottom w:val="none" w:sz="0" w:space="0" w:color="auto"/>
                            <w:right w:val="none" w:sz="0" w:space="0" w:color="auto"/>
                          </w:divBdr>
                          <w:divsChild>
                            <w:div w:id="83087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2486074">
      <w:bodyDiv w:val="1"/>
      <w:marLeft w:val="0"/>
      <w:marRight w:val="0"/>
      <w:marTop w:val="0"/>
      <w:marBottom w:val="0"/>
      <w:divBdr>
        <w:top w:val="none" w:sz="0" w:space="0" w:color="auto"/>
        <w:left w:val="none" w:sz="0" w:space="0" w:color="auto"/>
        <w:bottom w:val="none" w:sz="0" w:space="0" w:color="auto"/>
        <w:right w:val="none" w:sz="0" w:space="0" w:color="auto"/>
      </w:divBdr>
      <w:divsChild>
        <w:div w:id="1584877341">
          <w:marLeft w:val="0"/>
          <w:marRight w:val="0"/>
          <w:marTop w:val="0"/>
          <w:marBottom w:val="0"/>
          <w:divBdr>
            <w:top w:val="none" w:sz="0" w:space="0" w:color="auto"/>
            <w:left w:val="none" w:sz="0" w:space="0" w:color="auto"/>
            <w:bottom w:val="none" w:sz="0" w:space="0" w:color="auto"/>
            <w:right w:val="none" w:sz="0" w:space="0" w:color="auto"/>
          </w:divBdr>
          <w:divsChild>
            <w:div w:id="289287043">
              <w:marLeft w:val="0"/>
              <w:marRight w:val="0"/>
              <w:marTop w:val="0"/>
              <w:marBottom w:val="0"/>
              <w:divBdr>
                <w:top w:val="none" w:sz="0" w:space="0" w:color="auto"/>
                <w:left w:val="none" w:sz="0" w:space="0" w:color="auto"/>
                <w:bottom w:val="none" w:sz="0" w:space="0" w:color="auto"/>
                <w:right w:val="none" w:sz="0" w:space="0" w:color="auto"/>
              </w:divBdr>
              <w:divsChild>
                <w:div w:id="1666200320">
                  <w:marLeft w:val="0"/>
                  <w:marRight w:val="0"/>
                  <w:marTop w:val="0"/>
                  <w:marBottom w:val="0"/>
                  <w:divBdr>
                    <w:top w:val="none" w:sz="0" w:space="0" w:color="auto"/>
                    <w:left w:val="none" w:sz="0" w:space="0" w:color="auto"/>
                    <w:bottom w:val="none" w:sz="0" w:space="0" w:color="auto"/>
                    <w:right w:val="none" w:sz="0" w:space="0" w:color="auto"/>
                  </w:divBdr>
                  <w:divsChild>
                    <w:div w:id="987172981">
                      <w:marLeft w:val="0"/>
                      <w:marRight w:val="0"/>
                      <w:marTop w:val="0"/>
                      <w:marBottom w:val="0"/>
                      <w:divBdr>
                        <w:top w:val="none" w:sz="0" w:space="0" w:color="auto"/>
                        <w:left w:val="none" w:sz="0" w:space="0" w:color="auto"/>
                        <w:bottom w:val="none" w:sz="0" w:space="0" w:color="auto"/>
                        <w:right w:val="none" w:sz="0" w:space="0" w:color="auto"/>
                      </w:divBdr>
                      <w:divsChild>
                        <w:div w:id="1287614577">
                          <w:marLeft w:val="0"/>
                          <w:marRight w:val="0"/>
                          <w:marTop w:val="0"/>
                          <w:marBottom w:val="0"/>
                          <w:divBdr>
                            <w:top w:val="none" w:sz="0" w:space="0" w:color="auto"/>
                            <w:left w:val="none" w:sz="0" w:space="0" w:color="auto"/>
                            <w:bottom w:val="none" w:sz="0" w:space="0" w:color="auto"/>
                            <w:right w:val="none" w:sz="0" w:space="0" w:color="auto"/>
                          </w:divBdr>
                          <w:divsChild>
                            <w:div w:id="68860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907331">
      <w:bodyDiv w:val="1"/>
      <w:marLeft w:val="0"/>
      <w:marRight w:val="0"/>
      <w:marTop w:val="0"/>
      <w:marBottom w:val="0"/>
      <w:divBdr>
        <w:top w:val="none" w:sz="0" w:space="0" w:color="auto"/>
        <w:left w:val="none" w:sz="0" w:space="0" w:color="auto"/>
        <w:bottom w:val="none" w:sz="0" w:space="0" w:color="auto"/>
        <w:right w:val="none" w:sz="0" w:space="0" w:color="auto"/>
      </w:divBdr>
    </w:div>
    <w:div w:id="1030953634">
      <w:bodyDiv w:val="1"/>
      <w:marLeft w:val="0"/>
      <w:marRight w:val="0"/>
      <w:marTop w:val="0"/>
      <w:marBottom w:val="0"/>
      <w:divBdr>
        <w:top w:val="none" w:sz="0" w:space="0" w:color="auto"/>
        <w:left w:val="none" w:sz="0" w:space="0" w:color="auto"/>
        <w:bottom w:val="none" w:sz="0" w:space="0" w:color="auto"/>
        <w:right w:val="none" w:sz="0" w:space="0" w:color="auto"/>
      </w:divBdr>
      <w:divsChild>
        <w:div w:id="1287859228">
          <w:marLeft w:val="0"/>
          <w:marRight w:val="0"/>
          <w:marTop w:val="0"/>
          <w:marBottom w:val="0"/>
          <w:divBdr>
            <w:top w:val="none" w:sz="0" w:space="0" w:color="auto"/>
            <w:left w:val="none" w:sz="0" w:space="0" w:color="auto"/>
            <w:bottom w:val="none" w:sz="0" w:space="0" w:color="auto"/>
            <w:right w:val="none" w:sz="0" w:space="0" w:color="auto"/>
          </w:divBdr>
          <w:divsChild>
            <w:div w:id="476259849">
              <w:marLeft w:val="0"/>
              <w:marRight w:val="0"/>
              <w:marTop w:val="0"/>
              <w:marBottom w:val="0"/>
              <w:divBdr>
                <w:top w:val="none" w:sz="0" w:space="0" w:color="auto"/>
                <w:left w:val="none" w:sz="0" w:space="0" w:color="auto"/>
                <w:bottom w:val="none" w:sz="0" w:space="0" w:color="auto"/>
                <w:right w:val="none" w:sz="0" w:space="0" w:color="auto"/>
              </w:divBdr>
              <w:divsChild>
                <w:div w:id="2051371770">
                  <w:marLeft w:val="0"/>
                  <w:marRight w:val="0"/>
                  <w:marTop w:val="0"/>
                  <w:marBottom w:val="0"/>
                  <w:divBdr>
                    <w:top w:val="none" w:sz="0" w:space="0" w:color="auto"/>
                    <w:left w:val="none" w:sz="0" w:space="0" w:color="auto"/>
                    <w:bottom w:val="none" w:sz="0" w:space="0" w:color="auto"/>
                    <w:right w:val="none" w:sz="0" w:space="0" w:color="auto"/>
                  </w:divBdr>
                  <w:divsChild>
                    <w:div w:id="1975333331">
                      <w:marLeft w:val="0"/>
                      <w:marRight w:val="0"/>
                      <w:marTop w:val="0"/>
                      <w:marBottom w:val="0"/>
                      <w:divBdr>
                        <w:top w:val="none" w:sz="0" w:space="0" w:color="auto"/>
                        <w:left w:val="none" w:sz="0" w:space="0" w:color="auto"/>
                        <w:bottom w:val="none" w:sz="0" w:space="0" w:color="auto"/>
                        <w:right w:val="none" w:sz="0" w:space="0" w:color="auto"/>
                      </w:divBdr>
                      <w:divsChild>
                        <w:div w:id="1246650464">
                          <w:marLeft w:val="0"/>
                          <w:marRight w:val="0"/>
                          <w:marTop w:val="0"/>
                          <w:marBottom w:val="0"/>
                          <w:divBdr>
                            <w:top w:val="none" w:sz="0" w:space="0" w:color="auto"/>
                            <w:left w:val="none" w:sz="0" w:space="0" w:color="auto"/>
                            <w:bottom w:val="none" w:sz="0" w:space="0" w:color="auto"/>
                            <w:right w:val="none" w:sz="0" w:space="0" w:color="auto"/>
                          </w:divBdr>
                          <w:divsChild>
                            <w:div w:id="7203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396418">
      <w:bodyDiv w:val="1"/>
      <w:marLeft w:val="0"/>
      <w:marRight w:val="0"/>
      <w:marTop w:val="0"/>
      <w:marBottom w:val="0"/>
      <w:divBdr>
        <w:top w:val="none" w:sz="0" w:space="0" w:color="auto"/>
        <w:left w:val="none" w:sz="0" w:space="0" w:color="auto"/>
        <w:bottom w:val="none" w:sz="0" w:space="0" w:color="auto"/>
        <w:right w:val="none" w:sz="0" w:space="0" w:color="auto"/>
      </w:divBdr>
      <w:divsChild>
        <w:div w:id="779299294">
          <w:marLeft w:val="0"/>
          <w:marRight w:val="0"/>
          <w:marTop w:val="0"/>
          <w:marBottom w:val="0"/>
          <w:divBdr>
            <w:top w:val="none" w:sz="0" w:space="0" w:color="auto"/>
            <w:left w:val="none" w:sz="0" w:space="0" w:color="auto"/>
            <w:bottom w:val="none" w:sz="0" w:space="0" w:color="auto"/>
            <w:right w:val="none" w:sz="0" w:space="0" w:color="auto"/>
          </w:divBdr>
          <w:divsChild>
            <w:div w:id="1778867187">
              <w:marLeft w:val="0"/>
              <w:marRight w:val="0"/>
              <w:marTop w:val="0"/>
              <w:marBottom w:val="0"/>
              <w:divBdr>
                <w:top w:val="none" w:sz="0" w:space="0" w:color="auto"/>
                <w:left w:val="none" w:sz="0" w:space="0" w:color="auto"/>
                <w:bottom w:val="none" w:sz="0" w:space="0" w:color="auto"/>
                <w:right w:val="none" w:sz="0" w:space="0" w:color="auto"/>
              </w:divBdr>
              <w:divsChild>
                <w:div w:id="239946737">
                  <w:marLeft w:val="0"/>
                  <w:marRight w:val="0"/>
                  <w:marTop w:val="0"/>
                  <w:marBottom w:val="0"/>
                  <w:divBdr>
                    <w:top w:val="none" w:sz="0" w:space="0" w:color="auto"/>
                    <w:left w:val="none" w:sz="0" w:space="0" w:color="auto"/>
                    <w:bottom w:val="none" w:sz="0" w:space="0" w:color="auto"/>
                    <w:right w:val="none" w:sz="0" w:space="0" w:color="auto"/>
                  </w:divBdr>
                  <w:divsChild>
                    <w:div w:id="1427382078">
                      <w:marLeft w:val="0"/>
                      <w:marRight w:val="0"/>
                      <w:marTop w:val="0"/>
                      <w:marBottom w:val="0"/>
                      <w:divBdr>
                        <w:top w:val="none" w:sz="0" w:space="0" w:color="auto"/>
                        <w:left w:val="none" w:sz="0" w:space="0" w:color="auto"/>
                        <w:bottom w:val="none" w:sz="0" w:space="0" w:color="auto"/>
                        <w:right w:val="none" w:sz="0" w:space="0" w:color="auto"/>
                      </w:divBdr>
                      <w:divsChild>
                        <w:div w:id="1460296045">
                          <w:marLeft w:val="0"/>
                          <w:marRight w:val="0"/>
                          <w:marTop w:val="0"/>
                          <w:marBottom w:val="0"/>
                          <w:divBdr>
                            <w:top w:val="none" w:sz="0" w:space="0" w:color="auto"/>
                            <w:left w:val="none" w:sz="0" w:space="0" w:color="auto"/>
                            <w:bottom w:val="none" w:sz="0" w:space="0" w:color="auto"/>
                            <w:right w:val="none" w:sz="0" w:space="0" w:color="auto"/>
                          </w:divBdr>
                          <w:divsChild>
                            <w:div w:id="166108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064183">
      <w:bodyDiv w:val="1"/>
      <w:marLeft w:val="0"/>
      <w:marRight w:val="0"/>
      <w:marTop w:val="0"/>
      <w:marBottom w:val="0"/>
      <w:divBdr>
        <w:top w:val="none" w:sz="0" w:space="0" w:color="auto"/>
        <w:left w:val="none" w:sz="0" w:space="0" w:color="auto"/>
        <w:bottom w:val="none" w:sz="0" w:space="0" w:color="auto"/>
        <w:right w:val="none" w:sz="0" w:space="0" w:color="auto"/>
      </w:divBdr>
      <w:divsChild>
        <w:div w:id="1650477536">
          <w:marLeft w:val="0"/>
          <w:marRight w:val="0"/>
          <w:marTop w:val="0"/>
          <w:marBottom w:val="0"/>
          <w:divBdr>
            <w:top w:val="none" w:sz="0" w:space="0" w:color="auto"/>
            <w:left w:val="none" w:sz="0" w:space="0" w:color="auto"/>
            <w:bottom w:val="none" w:sz="0" w:space="0" w:color="auto"/>
            <w:right w:val="none" w:sz="0" w:space="0" w:color="auto"/>
          </w:divBdr>
          <w:divsChild>
            <w:div w:id="1728993302">
              <w:marLeft w:val="0"/>
              <w:marRight w:val="0"/>
              <w:marTop w:val="0"/>
              <w:marBottom w:val="0"/>
              <w:divBdr>
                <w:top w:val="none" w:sz="0" w:space="0" w:color="auto"/>
                <w:left w:val="none" w:sz="0" w:space="0" w:color="auto"/>
                <w:bottom w:val="none" w:sz="0" w:space="0" w:color="auto"/>
                <w:right w:val="none" w:sz="0" w:space="0" w:color="auto"/>
              </w:divBdr>
              <w:divsChild>
                <w:div w:id="2060739854">
                  <w:marLeft w:val="0"/>
                  <w:marRight w:val="0"/>
                  <w:marTop w:val="0"/>
                  <w:marBottom w:val="0"/>
                  <w:divBdr>
                    <w:top w:val="none" w:sz="0" w:space="0" w:color="auto"/>
                    <w:left w:val="none" w:sz="0" w:space="0" w:color="auto"/>
                    <w:bottom w:val="none" w:sz="0" w:space="0" w:color="auto"/>
                    <w:right w:val="none" w:sz="0" w:space="0" w:color="auto"/>
                  </w:divBdr>
                  <w:divsChild>
                    <w:div w:id="209150365">
                      <w:marLeft w:val="0"/>
                      <w:marRight w:val="0"/>
                      <w:marTop w:val="0"/>
                      <w:marBottom w:val="0"/>
                      <w:divBdr>
                        <w:top w:val="none" w:sz="0" w:space="0" w:color="auto"/>
                        <w:left w:val="none" w:sz="0" w:space="0" w:color="auto"/>
                        <w:bottom w:val="none" w:sz="0" w:space="0" w:color="auto"/>
                        <w:right w:val="none" w:sz="0" w:space="0" w:color="auto"/>
                      </w:divBdr>
                      <w:divsChild>
                        <w:div w:id="119038559">
                          <w:marLeft w:val="0"/>
                          <w:marRight w:val="0"/>
                          <w:marTop w:val="0"/>
                          <w:marBottom w:val="0"/>
                          <w:divBdr>
                            <w:top w:val="none" w:sz="0" w:space="0" w:color="auto"/>
                            <w:left w:val="none" w:sz="0" w:space="0" w:color="auto"/>
                            <w:bottom w:val="none" w:sz="0" w:space="0" w:color="auto"/>
                            <w:right w:val="none" w:sz="0" w:space="0" w:color="auto"/>
                          </w:divBdr>
                          <w:divsChild>
                            <w:div w:id="123234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852690">
      <w:bodyDiv w:val="1"/>
      <w:marLeft w:val="0"/>
      <w:marRight w:val="0"/>
      <w:marTop w:val="0"/>
      <w:marBottom w:val="0"/>
      <w:divBdr>
        <w:top w:val="none" w:sz="0" w:space="0" w:color="auto"/>
        <w:left w:val="none" w:sz="0" w:space="0" w:color="auto"/>
        <w:bottom w:val="none" w:sz="0" w:space="0" w:color="auto"/>
        <w:right w:val="none" w:sz="0" w:space="0" w:color="auto"/>
      </w:divBdr>
      <w:divsChild>
        <w:div w:id="1178689751">
          <w:marLeft w:val="0"/>
          <w:marRight w:val="0"/>
          <w:marTop w:val="0"/>
          <w:marBottom w:val="0"/>
          <w:divBdr>
            <w:top w:val="none" w:sz="0" w:space="0" w:color="auto"/>
            <w:left w:val="none" w:sz="0" w:space="0" w:color="auto"/>
            <w:bottom w:val="none" w:sz="0" w:space="0" w:color="auto"/>
            <w:right w:val="none" w:sz="0" w:space="0" w:color="auto"/>
          </w:divBdr>
          <w:divsChild>
            <w:div w:id="1165782612">
              <w:marLeft w:val="0"/>
              <w:marRight w:val="0"/>
              <w:marTop w:val="0"/>
              <w:marBottom w:val="0"/>
              <w:divBdr>
                <w:top w:val="none" w:sz="0" w:space="0" w:color="auto"/>
                <w:left w:val="none" w:sz="0" w:space="0" w:color="auto"/>
                <w:bottom w:val="none" w:sz="0" w:space="0" w:color="auto"/>
                <w:right w:val="none" w:sz="0" w:space="0" w:color="auto"/>
              </w:divBdr>
              <w:divsChild>
                <w:div w:id="1163085527">
                  <w:marLeft w:val="0"/>
                  <w:marRight w:val="0"/>
                  <w:marTop w:val="0"/>
                  <w:marBottom w:val="0"/>
                  <w:divBdr>
                    <w:top w:val="none" w:sz="0" w:space="0" w:color="auto"/>
                    <w:left w:val="none" w:sz="0" w:space="0" w:color="auto"/>
                    <w:bottom w:val="none" w:sz="0" w:space="0" w:color="auto"/>
                    <w:right w:val="none" w:sz="0" w:space="0" w:color="auto"/>
                  </w:divBdr>
                  <w:divsChild>
                    <w:div w:id="1028338093">
                      <w:marLeft w:val="0"/>
                      <w:marRight w:val="0"/>
                      <w:marTop w:val="0"/>
                      <w:marBottom w:val="0"/>
                      <w:divBdr>
                        <w:top w:val="none" w:sz="0" w:space="0" w:color="auto"/>
                        <w:left w:val="none" w:sz="0" w:space="0" w:color="auto"/>
                        <w:bottom w:val="none" w:sz="0" w:space="0" w:color="auto"/>
                        <w:right w:val="none" w:sz="0" w:space="0" w:color="auto"/>
                      </w:divBdr>
                      <w:divsChild>
                        <w:div w:id="981232359">
                          <w:marLeft w:val="0"/>
                          <w:marRight w:val="0"/>
                          <w:marTop w:val="0"/>
                          <w:marBottom w:val="0"/>
                          <w:divBdr>
                            <w:top w:val="none" w:sz="0" w:space="0" w:color="auto"/>
                            <w:left w:val="none" w:sz="0" w:space="0" w:color="auto"/>
                            <w:bottom w:val="none" w:sz="0" w:space="0" w:color="auto"/>
                            <w:right w:val="none" w:sz="0" w:space="0" w:color="auto"/>
                          </w:divBdr>
                          <w:divsChild>
                            <w:div w:id="78774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335787">
      <w:bodyDiv w:val="1"/>
      <w:marLeft w:val="0"/>
      <w:marRight w:val="0"/>
      <w:marTop w:val="0"/>
      <w:marBottom w:val="0"/>
      <w:divBdr>
        <w:top w:val="none" w:sz="0" w:space="0" w:color="auto"/>
        <w:left w:val="none" w:sz="0" w:space="0" w:color="auto"/>
        <w:bottom w:val="none" w:sz="0" w:space="0" w:color="auto"/>
        <w:right w:val="none" w:sz="0" w:space="0" w:color="auto"/>
      </w:divBdr>
      <w:divsChild>
        <w:div w:id="969357998">
          <w:marLeft w:val="0"/>
          <w:marRight w:val="0"/>
          <w:marTop w:val="0"/>
          <w:marBottom w:val="0"/>
          <w:divBdr>
            <w:top w:val="none" w:sz="0" w:space="0" w:color="auto"/>
            <w:left w:val="none" w:sz="0" w:space="0" w:color="auto"/>
            <w:bottom w:val="none" w:sz="0" w:space="0" w:color="auto"/>
            <w:right w:val="none" w:sz="0" w:space="0" w:color="auto"/>
          </w:divBdr>
          <w:divsChild>
            <w:div w:id="1578052035">
              <w:marLeft w:val="0"/>
              <w:marRight w:val="0"/>
              <w:marTop w:val="0"/>
              <w:marBottom w:val="0"/>
              <w:divBdr>
                <w:top w:val="none" w:sz="0" w:space="0" w:color="auto"/>
                <w:left w:val="none" w:sz="0" w:space="0" w:color="auto"/>
                <w:bottom w:val="none" w:sz="0" w:space="0" w:color="auto"/>
                <w:right w:val="none" w:sz="0" w:space="0" w:color="auto"/>
              </w:divBdr>
              <w:divsChild>
                <w:div w:id="1446542634">
                  <w:marLeft w:val="0"/>
                  <w:marRight w:val="0"/>
                  <w:marTop w:val="0"/>
                  <w:marBottom w:val="0"/>
                  <w:divBdr>
                    <w:top w:val="none" w:sz="0" w:space="0" w:color="auto"/>
                    <w:left w:val="none" w:sz="0" w:space="0" w:color="auto"/>
                    <w:bottom w:val="none" w:sz="0" w:space="0" w:color="auto"/>
                    <w:right w:val="none" w:sz="0" w:space="0" w:color="auto"/>
                  </w:divBdr>
                  <w:divsChild>
                    <w:div w:id="461652035">
                      <w:marLeft w:val="0"/>
                      <w:marRight w:val="0"/>
                      <w:marTop w:val="0"/>
                      <w:marBottom w:val="0"/>
                      <w:divBdr>
                        <w:top w:val="none" w:sz="0" w:space="0" w:color="auto"/>
                        <w:left w:val="none" w:sz="0" w:space="0" w:color="auto"/>
                        <w:bottom w:val="none" w:sz="0" w:space="0" w:color="auto"/>
                        <w:right w:val="none" w:sz="0" w:space="0" w:color="auto"/>
                      </w:divBdr>
                      <w:divsChild>
                        <w:div w:id="1176503674">
                          <w:marLeft w:val="0"/>
                          <w:marRight w:val="0"/>
                          <w:marTop w:val="0"/>
                          <w:marBottom w:val="0"/>
                          <w:divBdr>
                            <w:top w:val="none" w:sz="0" w:space="0" w:color="auto"/>
                            <w:left w:val="none" w:sz="0" w:space="0" w:color="auto"/>
                            <w:bottom w:val="none" w:sz="0" w:space="0" w:color="auto"/>
                            <w:right w:val="none" w:sz="0" w:space="0" w:color="auto"/>
                          </w:divBdr>
                          <w:divsChild>
                            <w:div w:id="15738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518929">
      <w:bodyDiv w:val="1"/>
      <w:marLeft w:val="0"/>
      <w:marRight w:val="0"/>
      <w:marTop w:val="0"/>
      <w:marBottom w:val="0"/>
      <w:divBdr>
        <w:top w:val="none" w:sz="0" w:space="0" w:color="auto"/>
        <w:left w:val="none" w:sz="0" w:space="0" w:color="auto"/>
        <w:bottom w:val="none" w:sz="0" w:space="0" w:color="auto"/>
        <w:right w:val="none" w:sz="0" w:space="0" w:color="auto"/>
      </w:divBdr>
      <w:divsChild>
        <w:div w:id="1211310451">
          <w:marLeft w:val="0"/>
          <w:marRight w:val="0"/>
          <w:marTop w:val="0"/>
          <w:marBottom w:val="0"/>
          <w:divBdr>
            <w:top w:val="none" w:sz="0" w:space="0" w:color="auto"/>
            <w:left w:val="none" w:sz="0" w:space="0" w:color="auto"/>
            <w:bottom w:val="none" w:sz="0" w:space="0" w:color="auto"/>
            <w:right w:val="none" w:sz="0" w:space="0" w:color="auto"/>
          </w:divBdr>
          <w:divsChild>
            <w:div w:id="581330286">
              <w:marLeft w:val="0"/>
              <w:marRight w:val="0"/>
              <w:marTop w:val="0"/>
              <w:marBottom w:val="0"/>
              <w:divBdr>
                <w:top w:val="none" w:sz="0" w:space="0" w:color="auto"/>
                <w:left w:val="none" w:sz="0" w:space="0" w:color="auto"/>
                <w:bottom w:val="none" w:sz="0" w:space="0" w:color="auto"/>
                <w:right w:val="none" w:sz="0" w:space="0" w:color="auto"/>
              </w:divBdr>
              <w:divsChild>
                <w:div w:id="300549148">
                  <w:marLeft w:val="0"/>
                  <w:marRight w:val="0"/>
                  <w:marTop w:val="0"/>
                  <w:marBottom w:val="0"/>
                  <w:divBdr>
                    <w:top w:val="none" w:sz="0" w:space="0" w:color="auto"/>
                    <w:left w:val="none" w:sz="0" w:space="0" w:color="auto"/>
                    <w:bottom w:val="none" w:sz="0" w:space="0" w:color="auto"/>
                    <w:right w:val="none" w:sz="0" w:space="0" w:color="auto"/>
                  </w:divBdr>
                  <w:divsChild>
                    <w:div w:id="1950818930">
                      <w:marLeft w:val="0"/>
                      <w:marRight w:val="0"/>
                      <w:marTop w:val="0"/>
                      <w:marBottom w:val="0"/>
                      <w:divBdr>
                        <w:top w:val="none" w:sz="0" w:space="0" w:color="auto"/>
                        <w:left w:val="none" w:sz="0" w:space="0" w:color="auto"/>
                        <w:bottom w:val="none" w:sz="0" w:space="0" w:color="auto"/>
                        <w:right w:val="none" w:sz="0" w:space="0" w:color="auto"/>
                      </w:divBdr>
                      <w:divsChild>
                        <w:div w:id="1548764114">
                          <w:marLeft w:val="0"/>
                          <w:marRight w:val="0"/>
                          <w:marTop w:val="0"/>
                          <w:marBottom w:val="0"/>
                          <w:divBdr>
                            <w:top w:val="none" w:sz="0" w:space="0" w:color="auto"/>
                            <w:left w:val="none" w:sz="0" w:space="0" w:color="auto"/>
                            <w:bottom w:val="none" w:sz="0" w:space="0" w:color="auto"/>
                            <w:right w:val="none" w:sz="0" w:space="0" w:color="auto"/>
                          </w:divBdr>
                          <w:divsChild>
                            <w:div w:id="95363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938099">
      <w:bodyDiv w:val="1"/>
      <w:marLeft w:val="0"/>
      <w:marRight w:val="0"/>
      <w:marTop w:val="0"/>
      <w:marBottom w:val="0"/>
      <w:divBdr>
        <w:top w:val="none" w:sz="0" w:space="0" w:color="auto"/>
        <w:left w:val="none" w:sz="0" w:space="0" w:color="auto"/>
        <w:bottom w:val="none" w:sz="0" w:space="0" w:color="auto"/>
        <w:right w:val="none" w:sz="0" w:space="0" w:color="auto"/>
      </w:divBdr>
      <w:divsChild>
        <w:div w:id="946234113">
          <w:marLeft w:val="0"/>
          <w:marRight w:val="0"/>
          <w:marTop w:val="0"/>
          <w:marBottom w:val="0"/>
          <w:divBdr>
            <w:top w:val="none" w:sz="0" w:space="0" w:color="auto"/>
            <w:left w:val="none" w:sz="0" w:space="0" w:color="auto"/>
            <w:bottom w:val="none" w:sz="0" w:space="0" w:color="auto"/>
            <w:right w:val="none" w:sz="0" w:space="0" w:color="auto"/>
          </w:divBdr>
          <w:divsChild>
            <w:div w:id="735974299">
              <w:marLeft w:val="0"/>
              <w:marRight w:val="0"/>
              <w:marTop w:val="0"/>
              <w:marBottom w:val="0"/>
              <w:divBdr>
                <w:top w:val="none" w:sz="0" w:space="0" w:color="auto"/>
                <w:left w:val="none" w:sz="0" w:space="0" w:color="auto"/>
                <w:bottom w:val="none" w:sz="0" w:space="0" w:color="auto"/>
                <w:right w:val="none" w:sz="0" w:space="0" w:color="auto"/>
              </w:divBdr>
              <w:divsChild>
                <w:div w:id="993023116">
                  <w:marLeft w:val="0"/>
                  <w:marRight w:val="0"/>
                  <w:marTop w:val="0"/>
                  <w:marBottom w:val="0"/>
                  <w:divBdr>
                    <w:top w:val="none" w:sz="0" w:space="0" w:color="auto"/>
                    <w:left w:val="none" w:sz="0" w:space="0" w:color="auto"/>
                    <w:bottom w:val="none" w:sz="0" w:space="0" w:color="auto"/>
                    <w:right w:val="none" w:sz="0" w:space="0" w:color="auto"/>
                  </w:divBdr>
                  <w:divsChild>
                    <w:div w:id="242491549">
                      <w:marLeft w:val="0"/>
                      <w:marRight w:val="0"/>
                      <w:marTop w:val="0"/>
                      <w:marBottom w:val="0"/>
                      <w:divBdr>
                        <w:top w:val="none" w:sz="0" w:space="0" w:color="auto"/>
                        <w:left w:val="none" w:sz="0" w:space="0" w:color="auto"/>
                        <w:bottom w:val="none" w:sz="0" w:space="0" w:color="auto"/>
                        <w:right w:val="none" w:sz="0" w:space="0" w:color="auto"/>
                      </w:divBdr>
                      <w:divsChild>
                        <w:div w:id="1331639093">
                          <w:marLeft w:val="0"/>
                          <w:marRight w:val="0"/>
                          <w:marTop w:val="0"/>
                          <w:marBottom w:val="0"/>
                          <w:divBdr>
                            <w:top w:val="none" w:sz="0" w:space="0" w:color="auto"/>
                            <w:left w:val="none" w:sz="0" w:space="0" w:color="auto"/>
                            <w:bottom w:val="none" w:sz="0" w:space="0" w:color="auto"/>
                            <w:right w:val="none" w:sz="0" w:space="0" w:color="auto"/>
                          </w:divBdr>
                          <w:divsChild>
                            <w:div w:id="191974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542146">
      <w:bodyDiv w:val="1"/>
      <w:marLeft w:val="0"/>
      <w:marRight w:val="0"/>
      <w:marTop w:val="0"/>
      <w:marBottom w:val="0"/>
      <w:divBdr>
        <w:top w:val="none" w:sz="0" w:space="0" w:color="auto"/>
        <w:left w:val="none" w:sz="0" w:space="0" w:color="auto"/>
        <w:bottom w:val="none" w:sz="0" w:space="0" w:color="auto"/>
        <w:right w:val="none" w:sz="0" w:space="0" w:color="auto"/>
      </w:divBdr>
      <w:divsChild>
        <w:div w:id="674573037">
          <w:marLeft w:val="0"/>
          <w:marRight w:val="0"/>
          <w:marTop w:val="0"/>
          <w:marBottom w:val="0"/>
          <w:divBdr>
            <w:top w:val="none" w:sz="0" w:space="0" w:color="auto"/>
            <w:left w:val="none" w:sz="0" w:space="0" w:color="auto"/>
            <w:bottom w:val="none" w:sz="0" w:space="0" w:color="auto"/>
            <w:right w:val="none" w:sz="0" w:space="0" w:color="auto"/>
          </w:divBdr>
          <w:divsChild>
            <w:div w:id="10032824">
              <w:marLeft w:val="0"/>
              <w:marRight w:val="0"/>
              <w:marTop w:val="0"/>
              <w:marBottom w:val="0"/>
              <w:divBdr>
                <w:top w:val="none" w:sz="0" w:space="0" w:color="auto"/>
                <w:left w:val="none" w:sz="0" w:space="0" w:color="auto"/>
                <w:bottom w:val="none" w:sz="0" w:space="0" w:color="auto"/>
                <w:right w:val="none" w:sz="0" w:space="0" w:color="auto"/>
              </w:divBdr>
              <w:divsChild>
                <w:div w:id="1647083235">
                  <w:marLeft w:val="0"/>
                  <w:marRight w:val="0"/>
                  <w:marTop w:val="0"/>
                  <w:marBottom w:val="0"/>
                  <w:divBdr>
                    <w:top w:val="none" w:sz="0" w:space="0" w:color="auto"/>
                    <w:left w:val="none" w:sz="0" w:space="0" w:color="auto"/>
                    <w:bottom w:val="none" w:sz="0" w:space="0" w:color="auto"/>
                    <w:right w:val="none" w:sz="0" w:space="0" w:color="auto"/>
                  </w:divBdr>
                  <w:divsChild>
                    <w:div w:id="1870874248">
                      <w:marLeft w:val="0"/>
                      <w:marRight w:val="0"/>
                      <w:marTop w:val="0"/>
                      <w:marBottom w:val="0"/>
                      <w:divBdr>
                        <w:top w:val="none" w:sz="0" w:space="0" w:color="auto"/>
                        <w:left w:val="none" w:sz="0" w:space="0" w:color="auto"/>
                        <w:bottom w:val="none" w:sz="0" w:space="0" w:color="auto"/>
                        <w:right w:val="none" w:sz="0" w:space="0" w:color="auto"/>
                      </w:divBdr>
                      <w:divsChild>
                        <w:div w:id="996956926">
                          <w:marLeft w:val="0"/>
                          <w:marRight w:val="0"/>
                          <w:marTop w:val="0"/>
                          <w:marBottom w:val="0"/>
                          <w:divBdr>
                            <w:top w:val="none" w:sz="0" w:space="0" w:color="auto"/>
                            <w:left w:val="none" w:sz="0" w:space="0" w:color="auto"/>
                            <w:bottom w:val="none" w:sz="0" w:space="0" w:color="auto"/>
                            <w:right w:val="none" w:sz="0" w:space="0" w:color="auto"/>
                          </w:divBdr>
                          <w:divsChild>
                            <w:div w:id="155728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573614">
      <w:bodyDiv w:val="1"/>
      <w:marLeft w:val="0"/>
      <w:marRight w:val="0"/>
      <w:marTop w:val="0"/>
      <w:marBottom w:val="0"/>
      <w:divBdr>
        <w:top w:val="none" w:sz="0" w:space="0" w:color="auto"/>
        <w:left w:val="none" w:sz="0" w:space="0" w:color="auto"/>
        <w:bottom w:val="none" w:sz="0" w:space="0" w:color="auto"/>
        <w:right w:val="none" w:sz="0" w:space="0" w:color="auto"/>
      </w:divBdr>
      <w:divsChild>
        <w:div w:id="678001564">
          <w:marLeft w:val="0"/>
          <w:marRight w:val="0"/>
          <w:marTop w:val="0"/>
          <w:marBottom w:val="0"/>
          <w:divBdr>
            <w:top w:val="single" w:sz="2" w:space="0" w:color="2E2E2E"/>
            <w:left w:val="single" w:sz="2" w:space="0" w:color="2E2E2E"/>
            <w:bottom w:val="single" w:sz="2" w:space="0" w:color="2E2E2E"/>
            <w:right w:val="single" w:sz="2" w:space="0" w:color="2E2E2E"/>
          </w:divBdr>
          <w:divsChild>
            <w:div w:id="511645862">
              <w:marLeft w:val="0"/>
              <w:marRight w:val="0"/>
              <w:marTop w:val="0"/>
              <w:marBottom w:val="0"/>
              <w:divBdr>
                <w:top w:val="single" w:sz="6" w:space="0" w:color="C9C9C9"/>
                <w:left w:val="none" w:sz="0" w:space="0" w:color="auto"/>
                <w:bottom w:val="none" w:sz="0" w:space="0" w:color="auto"/>
                <w:right w:val="none" w:sz="0" w:space="0" w:color="auto"/>
              </w:divBdr>
              <w:divsChild>
                <w:div w:id="37316396">
                  <w:marLeft w:val="0"/>
                  <w:marRight w:val="0"/>
                  <w:marTop w:val="0"/>
                  <w:marBottom w:val="0"/>
                  <w:divBdr>
                    <w:top w:val="none" w:sz="0" w:space="0" w:color="auto"/>
                    <w:left w:val="none" w:sz="0" w:space="0" w:color="auto"/>
                    <w:bottom w:val="none" w:sz="0" w:space="0" w:color="auto"/>
                    <w:right w:val="none" w:sz="0" w:space="0" w:color="auto"/>
                  </w:divBdr>
                  <w:divsChild>
                    <w:div w:id="1286235850">
                      <w:marLeft w:val="0"/>
                      <w:marRight w:val="0"/>
                      <w:marTop w:val="0"/>
                      <w:marBottom w:val="0"/>
                      <w:divBdr>
                        <w:top w:val="none" w:sz="0" w:space="0" w:color="auto"/>
                        <w:left w:val="none" w:sz="0" w:space="0" w:color="auto"/>
                        <w:bottom w:val="none" w:sz="0" w:space="0" w:color="auto"/>
                        <w:right w:val="none" w:sz="0" w:space="0" w:color="auto"/>
                      </w:divBdr>
                      <w:divsChild>
                        <w:div w:id="1044983810">
                          <w:marLeft w:val="0"/>
                          <w:marRight w:val="0"/>
                          <w:marTop w:val="0"/>
                          <w:marBottom w:val="0"/>
                          <w:divBdr>
                            <w:top w:val="none" w:sz="0" w:space="0" w:color="auto"/>
                            <w:left w:val="none" w:sz="0" w:space="0" w:color="auto"/>
                            <w:bottom w:val="none" w:sz="0" w:space="0" w:color="auto"/>
                            <w:right w:val="none" w:sz="0" w:space="0" w:color="auto"/>
                          </w:divBdr>
                          <w:divsChild>
                            <w:div w:id="1367178984">
                              <w:marLeft w:val="0"/>
                              <w:marRight w:val="0"/>
                              <w:marTop w:val="225"/>
                              <w:marBottom w:val="180"/>
                              <w:divBdr>
                                <w:top w:val="single" w:sz="6" w:space="0" w:color="DFDFDF"/>
                                <w:left w:val="single" w:sz="6" w:space="0" w:color="DFDFDF"/>
                                <w:bottom w:val="single" w:sz="6" w:space="0" w:color="DFDFDF"/>
                                <w:right w:val="single" w:sz="6" w:space="0" w:color="DFDFDF"/>
                              </w:divBdr>
                              <w:divsChild>
                                <w:div w:id="702752593">
                                  <w:marLeft w:val="0"/>
                                  <w:marRight w:val="0"/>
                                  <w:marTop w:val="0"/>
                                  <w:marBottom w:val="0"/>
                                  <w:divBdr>
                                    <w:top w:val="none" w:sz="0" w:space="0" w:color="auto"/>
                                    <w:left w:val="none" w:sz="0" w:space="0" w:color="auto"/>
                                    <w:bottom w:val="none" w:sz="0" w:space="0" w:color="auto"/>
                                    <w:right w:val="none" w:sz="0" w:space="0" w:color="auto"/>
                                  </w:divBdr>
                                  <w:divsChild>
                                    <w:div w:id="1404453452">
                                      <w:marLeft w:val="0"/>
                                      <w:marRight w:val="0"/>
                                      <w:marTop w:val="0"/>
                                      <w:marBottom w:val="0"/>
                                      <w:divBdr>
                                        <w:top w:val="none" w:sz="0" w:space="0" w:color="auto"/>
                                        <w:left w:val="none" w:sz="0" w:space="0" w:color="auto"/>
                                        <w:bottom w:val="none" w:sz="0" w:space="0" w:color="auto"/>
                                        <w:right w:val="none" w:sz="0" w:space="0" w:color="auto"/>
                                      </w:divBdr>
                                    </w:div>
                                    <w:div w:id="1348362480">
                                      <w:marLeft w:val="0"/>
                                      <w:marRight w:val="0"/>
                                      <w:marTop w:val="0"/>
                                      <w:marBottom w:val="0"/>
                                      <w:divBdr>
                                        <w:top w:val="none" w:sz="0" w:space="0" w:color="auto"/>
                                        <w:left w:val="none" w:sz="0" w:space="0" w:color="auto"/>
                                        <w:bottom w:val="none" w:sz="0" w:space="0" w:color="auto"/>
                                        <w:right w:val="none" w:sz="0" w:space="0" w:color="auto"/>
                                      </w:divBdr>
                                      <w:divsChild>
                                        <w:div w:id="1563520744">
                                          <w:marLeft w:val="0"/>
                                          <w:marRight w:val="0"/>
                                          <w:marTop w:val="75"/>
                                          <w:marBottom w:val="105"/>
                                          <w:divBdr>
                                            <w:top w:val="single" w:sz="6" w:space="2" w:color="598C20"/>
                                            <w:left w:val="single" w:sz="6" w:space="5" w:color="598C20"/>
                                            <w:bottom w:val="single" w:sz="6" w:space="2" w:color="598C20"/>
                                            <w:right w:val="single" w:sz="6" w:space="5" w:color="598C20"/>
                                          </w:divBdr>
                                        </w:div>
                                      </w:divsChild>
                                    </w:div>
                                    <w:div w:id="107959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7223219">
      <w:bodyDiv w:val="1"/>
      <w:marLeft w:val="0"/>
      <w:marRight w:val="0"/>
      <w:marTop w:val="0"/>
      <w:marBottom w:val="0"/>
      <w:divBdr>
        <w:top w:val="none" w:sz="0" w:space="0" w:color="auto"/>
        <w:left w:val="none" w:sz="0" w:space="0" w:color="auto"/>
        <w:bottom w:val="none" w:sz="0" w:space="0" w:color="auto"/>
        <w:right w:val="none" w:sz="0" w:space="0" w:color="auto"/>
      </w:divBdr>
      <w:divsChild>
        <w:div w:id="1732342704">
          <w:marLeft w:val="0"/>
          <w:marRight w:val="0"/>
          <w:marTop w:val="0"/>
          <w:marBottom w:val="0"/>
          <w:divBdr>
            <w:top w:val="none" w:sz="0" w:space="0" w:color="auto"/>
            <w:left w:val="none" w:sz="0" w:space="0" w:color="auto"/>
            <w:bottom w:val="none" w:sz="0" w:space="0" w:color="auto"/>
            <w:right w:val="none" w:sz="0" w:space="0" w:color="auto"/>
          </w:divBdr>
          <w:divsChild>
            <w:div w:id="708530458">
              <w:marLeft w:val="0"/>
              <w:marRight w:val="0"/>
              <w:marTop w:val="0"/>
              <w:marBottom w:val="0"/>
              <w:divBdr>
                <w:top w:val="none" w:sz="0" w:space="0" w:color="auto"/>
                <w:left w:val="none" w:sz="0" w:space="0" w:color="auto"/>
                <w:bottom w:val="none" w:sz="0" w:space="0" w:color="auto"/>
                <w:right w:val="none" w:sz="0" w:space="0" w:color="auto"/>
              </w:divBdr>
              <w:divsChild>
                <w:div w:id="1706716586">
                  <w:marLeft w:val="0"/>
                  <w:marRight w:val="0"/>
                  <w:marTop w:val="0"/>
                  <w:marBottom w:val="0"/>
                  <w:divBdr>
                    <w:top w:val="none" w:sz="0" w:space="0" w:color="auto"/>
                    <w:left w:val="none" w:sz="0" w:space="0" w:color="auto"/>
                    <w:bottom w:val="none" w:sz="0" w:space="0" w:color="auto"/>
                    <w:right w:val="none" w:sz="0" w:space="0" w:color="auto"/>
                  </w:divBdr>
                  <w:divsChild>
                    <w:div w:id="413211659">
                      <w:marLeft w:val="0"/>
                      <w:marRight w:val="0"/>
                      <w:marTop w:val="0"/>
                      <w:marBottom w:val="0"/>
                      <w:divBdr>
                        <w:top w:val="none" w:sz="0" w:space="0" w:color="auto"/>
                        <w:left w:val="none" w:sz="0" w:space="0" w:color="auto"/>
                        <w:bottom w:val="none" w:sz="0" w:space="0" w:color="auto"/>
                        <w:right w:val="none" w:sz="0" w:space="0" w:color="auto"/>
                      </w:divBdr>
                      <w:divsChild>
                        <w:div w:id="1028722843">
                          <w:marLeft w:val="0"/>
                          <w:marRight w:val="0"/>
                          <w:marTop w:val="0"/>
                          <w:marBottom w:val="0"/>
                          <w:divBdr>
                            <w:top w:val="none" w:sz="0" w:space="0" w:color="auto"/>
                            <w:left w:val="none" w:sz="0" w:space="0" w:color="auto"/>
                            <w:bottom w:val="none" w:sz="0" w:space="0" w:color="auto"/>
                            <w:right w:val="none" w:sz="0" w:space="0" w:color="auto"/>
                          </w:divBdr>
                          <w:divsChild>
                            <w:div w:id="3402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463548">
      <w:bodyDiv w:val="1"/>
      <w:marLeft w:val="0"/>
      <w:marRight w:val="0"/>
      <w:marTop w:val="0"/>
      <w:marBottom w:val="0"/>
      <w:divBdr>
        <w:top w:val="none" w:sz="0" w:space="0" w:color="auto"/>
        <w:left w:val="none" w:sz="0" w:space="0" w:color="auto"/>
        <w:bottom w:val="none" w:sz="0" w:space="0" w:color="auto"/>
        <w:right w:val="none" w:sz="0" w:space="0" w:color="auto"/>
      </w:divBdr>
      <w:divsChild>
        <w:div w:id="107433591">
          <w:marLeft w:val="0"/>
          <w:marRight w:val="0"/>
          <w:marTop w:val="105"/>
          <w:marBottom w:val="105"/>
          <w:divBdr>
            <w:top w:val="none" w:sz="0" w:space="0" w:color="auto"/>
            <w:left w:val="none" w:sz="0" w:space="0" w:color="auto"/>
            <w:bottom w:val="none" w:sz="0" w:space="0" w:color="auto"/>
            <w:right w:val="none" w:sz="0" w:space="0" w:color="auto"/>
          </w:divBdr>
          <w:divsChild>
            <w:div w:id="1137724191">
              <w:marLeft w:val="0"/>
              <w:marRight w:val="0"/>
              <w:marTop w:val="105"/>
              <w:marBottom w:val="105"/>
              <w:divBdr>
                <w:top w:val="none" w:sz="0" w:space="0" w:color="auto"/>
                <w:left w:val="none" w:sz="0" w:space="0" w:color="auto"/>
                <w:bottom w:val="none" w:sz="0" w:space="0" w:color="auto"/>
                <w:right w:val="none" w:sz="0" w:space="0" w:color="auto"/>
              </w:divBdr>
              <w:divsChild>
                <w:div w:id="1863470644">
                  <w:marLeft w:val="0"/>
                  <w:marRight w:val="0"/>
                  <w:marTop w:val="105"/>
                  <w:marBottom w:val="105"/>
                  <w:divBdr>
                    <w:top w:val="none" w:sz="0" w:space="0" w:color="auto"/>
                    <w:left w:val="none" w:sz="0" w:space="0" w:color="auto"/>
                    <w:bottom w:val="none" w:sz="0" w:space="0" w:color="auto"/>
                    <w:right w:val="none" w:sz="0" w:space="0" w:color="auto"/>
                  </w:divBdr>
                  <w:divsChild>
                    <w:div w:id="1168399633">
                      <w:marLeft w:val="0"/>
                      <w:marRight w:val="0"/>
                      <w:marTop w:val="105"/>
                      <w:marBottom w:val="105"/>
                      <w:divBdr>
                        <w:top w:val="none" w:sz="0" w:space="0" w:color="auto"/>
                        <w:left w:val="none" w:sz="0" w:space="0" w:color="auto"/>
                        <w:bottom w:val="none" w:sz="0" w:space="0" w:color="auto"/>
                        <w:right w:val="none" w:sz="0" w:space="0" w:color="auto"/>
                      </w:divBdr>
                      <w:divsChild>
                        <w:div w:id="485171234">
                          <w:marLeft w:val="0"/>
                          <w:marRight w:val="0"/>
                          <w:marTop w:val="105"/>
                          <w:marBottom w:val="105"/>
                          <w:divBdr>
                            <w:top w:val="none" w:sz="0" w:space="0" w:color="auto"/>
                            <w:left w:val="none" w:sz="0" w:space="0" w:color="auto"/>
                            <w:bottom w:val="none" w:sz="0" w:space="0" w:color="auto"/>
                            <w:right w:val="none" w:sz="0" w:space="0" w:color="auto"/>
                          </w:divBdr>
                          <w:divsChild>
                            <w:div w:id="1193231158">
                              <w:marLeft w:val="0"/>
                              <w:marRight w:val="0"/>
                              <w:marTop w:val="105"/>
                              <w:marBottom w:val="105"/>
                              <w:divBdr>
                                <w:top w:val="none" w:sz="0" w:space="0" w:color="auto"/>
                                <w:left w:val="none" w:sz="0" w:space="0" w:color="auto"/>
                                <w:bottom w:val="none" w:sz="0" w:space="0" w:color="auto"/>
                                <w:right w:val="none" w:sz="0" w:space="0" w:color="auto"/>
                              </w:divBdr>
                              <w:divsChild>
                                <w:div w:id="2000424362">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513973">
      <w:bodyDiv w:val="1"/>
      <w:marLeft w:val="0"/>
      <w:marRight w:val="0"/>
      <w:marTop w:val="0"/>
      <w:marBottom w:val="0"/>
      <w:divBdr>
        <w:top w:val="none" w:sz="0" w:space="0" w:color="auto"/>
        <w:left w:val="none" w:sz="0" w:space="0" w:color="auto"/>
        <w:bottom w:val="none" w:sz="0" w:space="0" w:color="auto"/>
        <w:right w:val="none" w:sz="0" w:space="0" w:color="auto"/>
      </w:divBdr>
      <w:divsChild>
        <w:div w:id="662855158">
          <w:marLeft w:val="0"/>
          <w:marRight w:val="0"/>
          <w:marTop w:val="0"/>
          <w:marBottom w:val="0"/>
          <w:divBdr>
            <w:top w:val="none" w:sz="0" w:space="0" w:color="auto"/>
            <w:left w:val="none" w:sz="0" w:space="0" w:color="auto"/>
            <w:bottom w:val="none" w:sz="0" w:space="0" w:color="auto"/>
            <w:right w:val="none" w:sz="0" w:space="0" w:color="auto"/>
          </w:divBdr>
          <w:divsChild>
            <w:div w:id="1060440342">
              <w:marLeft w:val="0"/>
              <w:marRight w:val="0"/>
              <w:marTop w:val="0"/>
              <w:marBottom w:val="0"/>
              <w:divBdr>
                <w:top w:val="none" w:sz="0" w:space="0" w:color="auto"/>
                <w:left w:val="none" w:sz="0" w:space="0" w:color="auto"/>
                <w:bottom w:val="none" w:sz="0" w:space="0" w:color="auto"/>
                <w:right w:val="none" w:sz="0" w:space="0" w:color="auto"/>
              </w:divBdr>
              <w:divsChild>
                <w:div w:id="200482836">
                  <w:marLeft w:val="0"/>
                  <w:marRight w:val="0"/>
                  <w:marTop w:val="0"/>
                  <w:marBottom w:val="0"/>
                  <w:divBdr>
                    <w:top w:val="none" w:sz="0" w:space="0" w:color="auto"/>
                    <w:left w:val="none" w:sz="0" w:space="0" w:color="auto"/>
                    <w:bottom w:val="none" w:sz="0" w:space="0" w:color="auto"/>
                    <w:right w:val="none" w:sz="0" w:space="0" w:color="auto"/>
                  </w:divBdr>
                  <w:divsChild>
                    <w:div w:id="299959733">
                      <w:marLeft w:val="-15"/>
                      <w:marRight w:val="-15"/>
                      <w:marTop w:val="0"/>
                      <w:marBottom w:val="0"/>
                      <w:divBdr>
                        <w:top w:val="none" w:sz="0" w:space="0" w:color="auto"/>
                        <w:left w:val="none" w:sz="0" w:space="0" w:color="auto"/>
                        <w:bottom w:val="none" w:sz="0" w:space="0" w:color="auto"/>
                        <w:right w:val="none" w:sz="0" w:space="0" w:color="auto"/>
                      </w:divBdr>
                      <w:divsChild>
                        <w:div w:id="1404254085">
                          <w:marLeft w:val="0"/>
                          <w:marRight w:val="0"/>
                          <w:marTop w:val="0"/>
                          <w:marBottom w:val="480"/>
                          <w:divBdr>
                            <w:top w:val="none" w:sz="0" w:space="0" w:color="auto"/>
                            <w:left w:val="none" w:sz="0" w:space="0" w:color="auto"/>
                            <w:bottom w:val="none" w:sz="0" w:space="0" w:color="auto"/>
                            <w:right w:val="none" w:sz="0" w:space="0" w:color="auto"/>
                          </w:divBdr>
                          <w:divsChild>
                            <w:div w:id="1241791974">
                              <w:marLeft w:val="0"/>
                              <w:marRight w:val="0"/>
                              <w:marTop w:val="0"/>
                              <w:marBottom w:val="0"/>
                              <w:divBdr>
                                <w:top w:val="none" w:sz="0" w:space="0" w:color="auto"/>
                                <w:left w:val="none" w:sz="0" w:space="0" w:color="auto"/>
                                <w:bottom w:val="none" w:sz="0" w:space="0" w:color="auto"/>
                                <w:right w:val="none" w:sz="0" w:space="0" w:color="auto"/>
                              </w:divBdr>
                            </w:div>
                            <w:div w:id="9981150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8043768">
      <w:bodyDiv w:val="1"/>
      <w:marLeft w:val="0"/>
      <w:marRight w:val="0"/>
      <w:marTop w:val="0"/>
      <w:marBottom w:val="0"/>
      <w:divBdr>
        <w:top w:val="none" w:sz="0" w:space="0" w:color="auto"/>
        <w:left w:val="none" w:sz="0" w:space="0" w:color="auto"/>
        <w:bottom w:val="none" w:sz="0" w:space="0" w:color="auto"/>
        <w:right w:val="none" w:sz="0" w:space="0" w:color="auto"/>
      </w:divBdr>
      <w:divsChild>
        <w:div w:id="1061900903">
          <w:marLeft w:val="0"/>
          <w:marRight w:val="0"/>
          <w:marTop w:val="0"/>
          <w:marBottom w:val="0"/>
          <w:divBdr>
            <w:top w:val="none" w:sz="0" w:space="0" w:color="auto"/>
            <w:left w:val="none" w:sz="0" w:space="0" w:color="auto"/>
            <w:bottom w:val="none" w:sz="0" w:space="0" w:color="auto"/>
            <w:right w:val="none" w:sz="0" w:space="0" w:color="auto"/>
          </w:divBdr>
          <w:divsChild>
            <w:div w:id="70857166">
              <w:marLeft w:val="0"/>
              <w:marRight w:val="0"/>
              <w:marTop w:val="0"/>
              <w:marBottom w:val="0"/>
              <w:divBdr>
                <w:top w:val="none" w:sz="0" w:space="0" w:color="auto"/>
                <w:left w:val="none" w:sz="0" w:space="0" w:color="auto"/>
                <w:bottom w:val="none" w:sz="0" w:space="0" w:color="auto"/>
                <w:right w:val="none" w:sz="0" w:space="0" w:color="auto"/>
              </w:divBdr>
              <w:divsChild>
                <w:div w:id="226497034">
                  <w:marLeft w:val="0"/>
                  <w:marRight w:val="0"/>
                  <w:marTop w:val="0"/>
                  <w:marBottom w:val="0"/>
                  <w:divBdr>
                    <w:top w:val="none" w:sz="0" w:space="0" w:color="auto"/>
                    <w:left w:val="none" w:sz="0" w:space="0" w:color="auto"/>
                    <w:bottom w:val="none" w:sz="0" w:space="0" w:color="auto"/>
                    <w:right w:val="none" w:sz="0" w:space="0" w:color="auto"/>
                  </w:divBdr>
                  <w:divsChild>
                    <w:div w:id="1832259519">
                      <w:marLeft w:val="0"/>
                      <w:marRight w:val="0"/>
                      <w:marTop w:val="0"/>
                      <w:marBottom w:val="0"/>
                      <w:divBdr>
                        <w:top w:val="none" w:sz="0" w:space="0" w:color="auto"/>
                        <w:left w:val="none" w:sz="0" w:space="0" w:color="auto"/>
                        <w:bottom w:val="none" w:sz="0" w:space="0" w:color="auto"/>
                        <w:right w:val="none" w:sz="0" w:space="0" w:color="auto"/>
                      </w:divBdr>
                      <w:divsChild>
                        <w:div w:id="1619991280">
                          <w:marLeft w:val="0"/>
                          <w:marRight w:val="0"/>
                          <w:marTop w:val="0"/>
                          <w:marBottom w:val="0"/>
                          <w:divBdr>
                            <w:top w:val="none" w:sz="0" w:space="0" w:color="auto"/>
                            <w:left w:val="none" w:sz="0" w:space="0" w:color="auto"/>
                            <w:bottom w:val="none" w:sz="0" w:space="0" w:color="auto"/>
                            <w:right w:val="none" w:sz="0" w:space="0" w:color="auto"/>
                          </w:divBdr>
                          <w:divsChild>
                            <w:div w:id="132254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501216">
      <w:bodyDiv w:val="1"/>
      <w:marLeft w:val="0"/>
      <w:marRight w:val="0"/>
      <w:marTop w:val="0"/>
      <w:marBottom w:val="0"/>
      <w:divBdr>
        <w:top w:val="none" w:sz="0" w:space="0" w:color="auto"/>
        <w:left w:val="none" w:sz="0" w:space="0" w:color="auto"/>
        <w:bottom w:val="none" w:sz="0" w:space="0" w:color="auto"/>
        <w:right w:val="none" w:sz="0" w:space="0" w:color="auto"/>
      </w:divBdr>
      <w:divsChild>
        <w:div w:id="974718028">
          <w:marLeft w:val="0"/>
          <w:marRight w:val="0"/>
          <w:marTop w:val="0"/>
          <w:marBottom w:val="0"/>
          <w:divBdr>
            <w:top w:val="none" w:sz="0" w:space="0" w:color="auto"/>
            <w:left w:val="none" w:sz="0" w:space="0" w:color="auto"/>
            <w:bottom w:val="none" w:sz="0" w:space="0" w:color="auto"/>
            <w:right w:val="none" w:sz="0" w:space="0" w:color="auto"/>
          </w:divBdr>
          <w:divsChild>
            <w:div w:id="941183910">
              <w:marLeft w:val="0"/>
              <w:marRight w:val="0"/>
              <w:marTop w:val="0"/>
              <w:marBottom w:val="0"/>
              <w:divBdr>
                <w:top w:val="none" w:sz="0" w:space="0" w:color="auto"/>
                <w:left w:val="none" w:sz="0" w:space="0" w:color="auto"/>
                <w:bottom w:val="none" w:sz="0" w:space="0" w:color="auto"/>
                <w:right w:val="none" w:sz="0" w:space="0" w:color="auto"/>
              </w:divBdr>
              <w:divsChild>
                <w:div w:id="1791968746">
                  <w:marLeft w:val="0"/>
                  <w:marRight w:val="0"/>
                  <w:marTop w:val="0"/>
                  <w:marBottom w:val="0"/>
                  <w:divBdr>
                    <w:top w:val="none" w:sz="0" w:space="0" w:color="auto"/>
                    <w:left w:val="none" w:sz="0" w:space="0" w:color="auto"/>
                    <w:bottom w:val="none" w:sz="0" w:space="0" w:color="auto"/>
                    <w:right w:val="none" w:sz="0" w:space="0" w:color="auto"/>
                  </w:divBdr>
                  <w:divsChild>
                    <w:div w:id="1957444121">
                      <w:marLeft w:val="0"/>
                      <w:marRight w:val="0"/>
                      <w:marTop w:val="0"/>
                      <w:marBottom w:val="0"/>
                      <w:divBdr>
                        <w:top w:val="none" w:sz="0" w:space="0" w:color="auto"/>
                        <w:left w:val="none" w:sz="0" w:space="0" w:color="auto"/>
                        <w:bottom w:val="none" w:sz="0" w:space="0" w:color="auto"/>
                        <w:right w:val="none" w:sz="0" w:space="0" w:color="auto"/>
                      </w:divBdr>
                      <w:divsChild>
                        <w:div w:id="604535116">
                          <w:marLeft w:val="0"/>
                          <w:marRight w:val="0"/>
                          <w:marTop w:val="0"/>
                          <w:marBottom w:val="0"/>
                          <w:divBdr>
                            <w:top w:val="none" w:sz="0" w:space="0" w:color="auto"/>
                            <w:left w:val="none" w:sz="0" w:space="0" w:color="auto"/>
                            <w:bottom w:val="none" w:sz="0" w:space="0" w:color="auto"/>
                            <w:right w:val="none" w:sz="0" w:space="0" w:color="auto"/>
                          </w:divBdr>
                          <w:divsChild>
                            <w:div w:id="63533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411507">
      <w:bodyDiv w:val="1"/>
      <w:marLeft w:val="0"/>
      <w:marRight w:val="0"/>
      <w:marTop w:val="0"/>
      <w:marBottom w:val="0"/>
      <w:divBdr>
        <w:top w:val="none" w:sz="0" w:space="0" w:color="auto"/>
        <w:left w:val="none" w:sz="0" w:space="0" w:color="auto"/>
        <w:bottom w:val="none" w:sz="0" w:space="0" w:color="auto"/>
        <w:right w:val="none" w:sz="0" w:space="0" w:color="auto"/>
      </w:divBdr>
      <w:divsChild>
        <w:div w:id="2084641042">
          <w:marLeft w:val="0"/>
          <w:marRight w:val="0"/>
          <w:marTop w:val="0"/>
          <w:marBottom w:val="0"/>
          <w:divBdr>
            <w:top w:val="none" w:sz="0" w:space="0" w:color="auto"/>
            <w:left w:val="none" w:sz="0" w:space="0" w:color="auto"/>
            <w:bottom w:val="none" w:sz="0" w:space="0" w:color="auto"/>
            <w:right w:val="none" w:sz="0" w:space="0" w:color="auto"/>
          </w:divBdr>
          <w:divsChild>
            <w:div w:id="1777406730">
              <w:marLeft w:val="0"/>
              <w:marRight w:val="0"/>
              <w:marTop w:val="0"/>
              <w:marBottom w:val="0"/>
              <w:divBdr>
                <w:top w:val="none" w:sz="0" w:space="0" w:color="auto"/>
                <w:left w:val="none" w:sz="0" w:space="0" w:color="auto"/>
                <w:bottom w:val="none" w:sz="0" w:space="0" w:color="auto"/>
                <w:right w:val="none" w:sz="0" w:space="0" w:color="auto"/>
              </w:divBdr>
              <w:divsChild>
                <w:div w:id="2007392189">
                  <w:marLeft w:val="0"/>
                  <w:marRight w:val="0"/>
                  <w:marTop w:val="0"/>
                  <w:marBottom w:val="0"/>
                  <w:divBdr>
                    <w:top w:val="none" w:sz="0" w:space="0" w:color="auto"/>
                    <w:left w:val="none" w:sz="0" w:space="0" w:color="auto"/>
                    <w:bottom w:val="none" w:sz="0" w:space="0" w:color="auto"/>
                    <w:right w:val="none" w:sz="0" w:space="0" w:color="auto"/>
                  </w:divBdr>
                  <w:divsChild>
                    <w:div w:id="1915158855">
                      <w:marLeft w:val="0"/>
                      <w:marRight w:val="0"/>
                      <w:marTop w:val="0"/>
                      <w:marBottom w:val="0"/>
                      <w:divBdr>
                        <w:top w:val="none" w:sz="0" w:space="0" w:color="auto"/>
                        <w:left w:val="none" w:sz="0" w:space="0" w:color="auto"/>
                        <w:bottom w:val="none" w:sz="0" w:space="0" w:color="auto"/>
                        <w:right w:val="none" w:sz="0" w:space="0" w:color="auto"/>
                      </w:divBdr>
                      <w:divsChild>
                        <w:div w:id="1328442725">
                          <w:marLeft w:val="0"/>
                          <w:marRight w:val="0"/>
                          <w:marTop w:val="0"/>
                          <w:marBottom w:val="0"/>
                          <w:divBdr>
                            <w:top w:val="none" w:sz="0" w:space="0" w:color="auto"/>
                            <w:left w:val="none" w:sz="0" w:space="0" w:color="auto"/>
                            <w:bottom w:val="none" w:sz="0" w:space="0" w:color="auto"/>
                            <w:right w:val="none" w:sz="0" w:space="0" w:color="auto"/>
                          </w:divBdr>
                          <w:divsChild>
                            <w:div w:id="12473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388705">
      <w:bodyDiv w:val="1"/>
      <w:marLeft w:val="0"/>
      <w:marRight w:val="0"/>
      <w:marTop w:val="0"/>
      <w:marBottom w:val="0"/>
      <w:divBdr>
        <w:top w:val="none" w:sz="0" w:space="0" w:color="auto"/>
        <w:left w:val="none" w:sz="0" w:space="0" w:color="auto"/>
        <w:bottom w:val="none" w:sz="0" w:space="0" w:color="auto"/>
        <w:right w:val="none" w:sz="0" w:space="0" w:color="auto"/>
      </w:divBdr>
      <w:divsChild>
        <w:div w:id="158808737">
          <w:marLeft w:val="0"/>
          <w:marRight w:val="0"/>
          <w:marTop w:val="0"/>
          <w:marBottom w:val="0"/>
          <w:divBdr>
            <w:top w:val="none" w:sz="0" w:space="0" w:color="auto"/>
            <w:left w:val="none" w:sz="0" w:space="0" w:color="auto"/>
            <w:bottom w:val="none" w:sz="0" w:space="0" w:color="auto"/>
            <w:right w:val="none" w:sz="0" w:space="0" w:color="auto"/>
          </w:divBdr>
          <w:divsChild>
            <w:div w:id="198326516">
              <w:marLeft w:val="0"/>
              <w:marRight w:val="0"/>
              <w:marTop w:val="0"/>
              <w:marBottom w:val="0"/>
              <w:divBdr>
                <w:top w:val="none" w:sz="0" w:space="0" w:color="auto"/>
                <w:left w:val="none" w:sz="0" w:space="0" w:color="auto"/>
                <w:bottom w:val="none" w:sz="0" w:space="0" w:color="auto"/>
                <w:right w:val="none" w:sz="0" w:space="0" w:color="auto"/>
              </w:divBdr>
              <w:divsChild>
                <w:div w:id="2017685769">
                  <w:marLeft w:val="0"/>
                  <w:marRight w:val="0"/>
                  <w:marTop w:val="0"/>
                  <w:marBottom w:val="0"/>
                  <w:divBdr>
                    <w:top w:val="none" w:sz="0" w:space="0" w:color="auto"/>
                    <w:left w:val="none" w:sz="0" w:space="0" w:color="auto"/>
                    <w:bottom w:val="none" w:sz="0" w:space="0" w:color="auto"/>
                    <w:right w:val="none" w:sz="0" w:space="0" w:color="auto"/>
                  </w:divBdr>
                  <w:divsChild>
                    <w:div w:id="1038971638">
                      <w:marLeft w:val="0"/>
                      <w:marRight w:val="0"/>
                      <w:marTop w:val="0"/>
                      <w:marBottom w:val="0"/>
                      <w:divBdr>
                        <w:top w:val="none" w:sz="0" w:space="0" w:color="auto"/>
                        <w:left w:val="none" w:sz="0" w:space="0" w:color="auto"/>
                        <w:bottom w:val="none" w:sz="0" w:space="0" w:color="auto"/>
                        <w:right w:val="none" w:sz="0" w:space="0" w:color="auto"/>
                      </w:divBdr>
                      <w:divsChild>
                        <w:div w:id="695424104">
                          <w:marLeft w:val="0"/>
                          <w:marRight w:val="0"/>
                          <w:marTop w:val="0"/>
                          <w:marBottom w:val="0"/>
                          <w:divBdr>
                            <w:top w:val="none" w:sz="0" w:space="0" w:color="auto"/>
                            <w:left w:val="none" w:sz="0" w:space="0" w:color="auto"/>
                            <w:bottom w:val="none" w:sz="0" w:space="0" w:color="auto"/>
                            <w:right w:val="none" w:sz="0" w:space="0" w:color="auto"/>
                          </w:divBdr>
                          <w:divsChild>
                            <w:div w:id="176719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974529">
      <w:bodyDiv w:val="1"/>
      <w:marLeft w:val="0"/>
      <w:marRight w:val="0"/>
      <w:marTop w:val="0"/>
      <w:marBottom w:val="0"/>
      <w:divBdr>
        <w:top w:val="none" w:sz="0" w:space="0" w:color="auto"/>
        <w:left w:val="none" w:sz="0" w:space="0" w:color="auto"/>
        <w:bottom w:val="none" w:sz="0" w:space="0" w:color="auto"/>
        <w:right w:val="none" w:sz="0" w:space="0" w:color="auto"/>
      </w:divBdr>
      <w:divsChild>
        <w:div w:id="36055485">
          <w:marLeft w:val="0"/>
          <w:marRight w:val="0"/>
          <w:marTop w:val="0"/>
          <w:marBottom w:val="0"/>
          <w:divBdr>
            <w:top w:val="none" w:sz="0" w:space="0" w:color="auto"/>
            <w:left w:val="none" w:sz="0" w:space="0" w:color="auto"/>
            <w:bottom w:val="none" w:sz="0" w:space="0" w:color="auto"/>
            <w:right w:val="none" w:sz="0" w:space="0" w:color="auto"/>
          </w:divBdr>
          <w:divsChild>
            <w:div w:id="1699819894">
              <w:marLeft w:val="0"/>
              <w:marRight w:val="0"/>
              <w:marTop w:val="0"/>
              <w:marBottom w:val="0"/>
              <w:divBdr>
                <w:top w:val="none" w:sz="0" w:space="0" w:color="auto"/>
                <w:left w:val="none" w:sz="0" w:space="0" w:color="auto"/>
                <w:bottom w:val="none" w:sz="0" w:space="0" w:color="auto"/>
                <w:right w:val="none" w:sz="0" w:space="0" w:color="auto"/>
              </w:divBdr>
              <w:divsChild>
                <w:div w:id="1241401208">
                  <w:marLeft w:val="0"/>
                  <w:marRight w:val="0"/>
                  <w:marTop w:val="0"/>
                  <w:marBottom w:val="0"/>
                  <w:divBdr>
                    <w:top w:val="none" w:sz="0" w:space="0" w:color="auto"/>
                    <w:left w:val="none" w:sz="0" w:space="0" w:color="auto"/>
                    <w:bottom w:val="none" w:sz="0" w:space="0" w:color="auto"/>
                    <w:right w:val="none" w:sz="0" w:space="0" w:color="auto"/>
                  </w:divBdr>
                  <w:divsChild>
                    <w:div w:id="511377827">
                      <w:marLeft w:val="0"/>
                      <w:marRight w:val="0"/>
                      <w:marTop w:val="0"/>
                      <w:marBottom w:val="0"/>
                      <w:divBdr>
                        <w:top w:val="none" w:sz="0" w:space="0" w:color="auto"/>
                        <w:left w:val="none" w:sz="0" w:space="0" w:color="auto"/>
                        <w:bottom w:val="none" w:sz="0" w:space="0" w:color="auto"/>
                        <w:right w:val="none" w:sz="0" w:space="0" w:color="auto"/>
                      </w:divBdr>
                      <w:divsChild>
                        <w:div w:id="824198009">
                          <w:marLeft w:val="0"/>
                          <w:marRight w:val="0"/>
                          <w:marTop w:val="0"/>
                          <w:marBottom w:val="0"/>
                          <w:divBdr>
                            <w:top w:val="none" w:sz="0" w:space="0" w:color="auto"/>
                            <w:left w:val="none" w:sz="0" w:space="0" w:color="auto"/>
                            <w:bottom w:val="none" w:sz="0" w:space="0" w:color="auto"/>
                            <w:right w:val="none" w:sz="0" w:space="0" w:color="auto"/>
                          </w:divBdr>
                          <w:divsChild>
                            <w:div w:id="11425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299207">
      <w:bodyDiv w:val="1"/>
      <w:marLeft w:val="0"/>
      <w:marRight w:val="0"/>
      <w:marTop w:val="0"/>
      <w:marBottom w:val="0"/>
      <w:divBdr>
        <w:top w:val="none" w:sz="0" w:space="0" w:color="auto"/>
        <w:left w:val="none" w:sz="0" w:space="0" w:color="auto"/>
        <w:bottom w:val="none" w:sz="0" w:space="0" w:color="auto"/>
        <w:right w:val="none" w:sz="0" w:space="0" w:color="auto"/>
      </w:divBdr>
      <w:divsChild>
        <w:div w:id="279066754">
          <w:marLeft w:val="0"/>
          <w:marRight w:val="0"/>
          <w:marTop w:val="0"/>
          <w:marBottom w:val="0"/>
          <w:divBdr>
            <w:top w:val="none" w:sz="0" w:space="0" w:color="auto"/>
            <w:left w:val="none" w:sz="0" w:space="0" w:color="auto"/>
            <w:bottom w:val="none" w:sz="0" w:space="0" w:color="auto"/>
            <w:right w:val="none" w:sz="0" w:space="0" w:color="auto"/>
          </w:divBdr>
          <w:divsChild>
            <w:div w:id="1438528452">
              <w:marLeft w:val="0"/>
              <w:marRight w:val="0"/>
              <w:marTop w:val="0"/>
              <w:marBottom w:val="0"/>
              <w:divBdr>
                <w:top w:val="none" w:sz="0" w:space="0" w:color="auto"/>
                <w:left w:val="none" w:sz="0" w:space="0" w:color="auto"/>
                <w:bottom w:val="none" w:sz="0" w:space="0" w:color="auto"/>
                <w:right w:val="none" w:sz="0" w:space="0" w:color="auto"/>
              </w:divBdr>
              <w:divsChild>
                <w:div w:id="1062755707">
                  <w:marLeft w:val="0"/>
                  <w:marRight w:val="0"/>
                  <w:marTop w:val="0"/>
                  <w:marBottom w:val="0"/>
                  <w:divBdr>
                    <w:top w:val="none" w:sz="0" w:space="0" w:color="auto"/>
                    <w:left w:val="none" w:sz="0" w:space="0" w:color="auto"/>
                    <w:bottom w:val="none" w:sz="0" w:space="0" w:color="auto"/>
                    <w:right w:val="none" w:sz="0" w:space="0" w:color="auto"/>
                  </w:divBdr>
                  <w:divsChild>
                    <w:div w:id="1010989600">
                      <w:marLeft w:val="0"/>
                      <w:marRight w:val="0"/>
                      <w:marTop w:val="0"/>
                      <w:marBottom w:val="0"/>
                      <w:divBdr>
                        <w:top w:val="none" w:sz="0" w:space="0" w:color="auto"/>
                        <w:left w:val="none" w:sz="0" w:space="0" w:color="auto"/>
                        <w:bottom w:val="none" w:sz="0" w:space="0" w:color="auto"/>
                        <w:right w:val="none" w:sz="0" w:space="0" w:color="auto"/>
                      </w:divBdr>
                      <w:divsChild>
                        <w:div w:id="1647666855">
                          <w:marLeft w:val="0"/>
                          <w:marRight w:val="0"/>
                          <w:marTop w:val="0"/>
                          <w:marBottom w:val="0"/>
                          <w:divBdr>
                            <w:top w:val="none" w:sz="0" w:space="0" w:color="auto"/>
                            <w:left w:val="none" w:sz="0" w:space="0" w:color="auto"/>
                            <w:bottom w:val="none" w:sz="0" w:space="0" w:color="auto"/>
                            <w:right w:val="none" w:sz="0" w:space="0" w:color="auto"/>
                          </w:divBdr>
                          <w:divsChild>
                            <w:div w:id="34460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7280951">
      <w:bodyDiv w:val="1"/>
      <w:marLeft w:val="0"/>
      <w:marRight w:val="0"/>
      <w:marTop w:val="0"/>
      <w:marBottom w:val="0"/>
      <w:divBdr>
        <w:top w:val="none" w:sz="0" w:space="0" w:color="auto"/>
        <w:left w:val="none" w:sz="0" w:space="0" w:color="auto"/>
        <w:bottom w:val="none" w:sz="0" w:space="0" w:color="auto"/>
        <w:right w:val="none" w:sz="0" w:space="0" w:color="auto"/>
      </w:divBdr>
      <w:divsChild>
        <w:div w:id="1003584903">
          <w:marLeft w:val="0"/>
          <w:marRight w:val="0"/>
          <w:marTop w:val="0"/>
          <w:marBottom w:val="0"/>
          <w:divBdr>
            <w:top w:val="none" w:sz="0" w:space="0" w:color="auto"/>
            <w:left w:val="none" w:sz="0" w:space="0" w:color="auto"/>
            <w:bottom w:val="none" w:sz="0" w:space="0" w:color="auto"/>
            <w:right w:val="none" w:sz="0" w:space="0" w:color="auto"/>
          </w:divBdr>
          <w:divsChild>
            <w:div w:id="1117069723">
              <w:marLeft w:val="0"/>
              <w:marRight w:val="0"/>
              <w:marTop w:val="0"/>
              <w:marBottom w:val="0"/>
              <w:divBdr>
                <w:top w:val="none" w:sz="0" w:space="0" w:color="auto"/>
                <w:left w:val="none" w:sz="0" w:space="0" w:color="auto"/>
                <w:bottom w:val="none" w:sz="0" w:space="0" w:color="auto"/>
                <w:right w:val="none" w:sz="0" w:space="0" w:color="auto"/>
              </w:divBdr>
              <w:divsChild>
                <w:div w:id="602688799">
                  <w:marLeft w:val="0"/>
                  <w:marRight w:val="0"/>
                  <w:marTop w:val="0"/>
                  <w:marBottom w:val="0"/>
                  <w:divBdr>
                    <w:top w:val="none" w:sz="0" w:space="0" w:color="auto"/>
                    <w:left w:val="none" w:sz="0" w:space="0" w:color="auto"/>
                    <w:bottom w:val="none" w:sz="0" w:space="0" w:color="auto"/>
                    <w:right w:val="none" w:sz="0" w:space="0" w:color="auto"/>
                  </w:divBdr>
                  <w:divsChild>
                    <w:div w:id="494421161">
                      <w:marLeft w:val="0"/>
                      <w:marRight w:val="0"/>
                      <w:marTop w:val="0"/>
                      <w:marBottom w:val="0"/>
                      <w:divBdr>
                        <w:top w:val="none" w:sz="0" w:space="0" w:color="auto"/>
                        <w:left w:val="none" w:sz="0" w:space="0" w:color="auto"/>
                        <w:bottom w:val="none" w:sz="0" w:space="0" w:color="auto"/>
                        <w:right w:val="none" w:sz="0" w:space="0" w:color="auto"/>
                      </w:divBdr>
                      <w:divsChild>
                        <w:div w:id="1844540999">
                          <w:marLeft w:val="0"/>
                          <w:marRight w:val="0"/>
                          <w:marTop w:val="0"/>
                          <w:marBottom w:val="0"/>
                          <w:divBdr>
                            <w:top w:val="none" w:sz="0" w:space="0" w:color="auto"/>
                            <w:left w:val="none" w:sz="0" w:space="0" w:color="auto"/>
                            <w:bottom w:val="none" w:sz="0" w:space="0" w:color="auto"/>
                            <w:right w:val="none" w:sz="0" w:space="0" w:color="auto"/>
                          </w:divBdr>
                          <w:divsChild>
                            <w:div w:id="58499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777579">
      <w:bodyDiv w:val="1"/>
      <w:marLeft w:val="0"/>
      <w:marRight w:val="0"/>
      <w:marTop w:val="0"/>
      <w:marBottom w:val="0"/>
      <w:divBdr>
        <w:top w:val="none" w:sz="0" w:space="0" w:color="auto"/>
        <w:left w:val="none" w:sz="0" w:space="0" w:color="auto"/>
        <w:bottom w:val="none" w:sz="0" w:space="0" w:color="auto"/>
        <w:right w:val="none" w:sz="0" w:space="0" w:color="auto"/>
      </w:divBdr>
      <w:divsChild>
        <w:div w:id="1637296727">
          <w:marLeft w:val="0"/>
          <w:marRight w:val="0"/>
          <w:marTop w:val="0"/>
          <w:marBottom w:val="0"/>
          <w:divBdr>
            <w:top w:val="none" w:sz="0" w:space="0" w:color="auto"/>
            <w:left w:val="none" w:sz="0" w:space="0" w:color="auto"/>
            <w:bottom w:val="none" w:sz="0" w:space="0" w:color="auto"/>
            <w:right w:val="none" w:sz="0" w:space="0" w:color="auto"/>
          </w:divBdr>
          <w:divsChild>
            <w:div w:id="1619525708">
              <w:marLeft w:val="0"/>
              <w:marRight w:val="0"/>
              <w:marTop w:val="0"/>
              <w:marBottom w:val="0"/>
              <w:divBdr>
                <w:top w:val="none" w:sz="0" w:space="0" w:color="auto"/>
                <w:left w:val="none" w:sz="0" w:space="0" w:color="auto"/>
                <w:bottom w:val="none" w:sz="0" w:space="0" w:color="auto"/>
                <w:right w:val="none" w:sz="0" w:space="0" w:color="auto"/>
              </w:divBdr>
              <w:divsChild>
                <w:div w:id="303312428">
                  <w:marLeft w:val="0"/>
                  <w:marRight w:val="0"/>
                  <w:marTop w:val="0"/>
                  <w:marBottom w:val="0"/>
                  <w:divBdr>
                    <w:top w:val="none" w:sz="0" w:space="0" w:color="auto"/>
                    <w:left w:val="none" w:sz="0" w:space="0" w:color="auto"/>
                    <w:bottom w:val="none" w:sz="0" w:space="0" w:color="auto"/>
                    <w:right w:val="none" w:sz="0" w:space="0" w:color="auto"/>
                  </w:divBdr>
                  <w:divsChild>
                    <w:div w:id="1268737712">
                      <w:marLeft w:val="0"/>
                      <w:marRight w:val="0"/>
                      <w:marTop w:val="0"/>
                      <w:marBottom w:val="0"/>
                      <w:divBdr>
                        <w:top w:val="none" w:sz="0" w:space="0" w:color="auto"/>
                        <w:left w:val="none" w:sz="0" w:space="0" w:color="auto"/>
                        <w:bottom w:val="none" w:sz="0" w:space="0" w:color="auto"/>
                        <w:right w:val="none" w:sz="0" w:space="0" w:color="auto"/>
                      </w:divBdr>
                      <w:divsChild>
                        <w:div w:id="310444164">
                          <w:marLeft w:val="0"/>
                          <w:marRight w:val="0"/>
                          <w:marTop w:val="0"/>
                          <w:marBottom w:val="0"/>
                          <w:divBdr>
                            <w:top w:val="none" w:sz="0" w:space="0" w:color="auto"/>
                            <w:left w:val="none" w:sz="0" w:space="0" w:color="auto"/>
                            <w:bottom w:val="none" w:sz="0" w:space="0" w:color="auto"/>
                            <w:right w:val="none" w:sz="0" w:space="0" w:color="auto"/>
                          </w:divBdr>
                          <w:divsChild>
                            <w:div w:id="122587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022299">
      <w:bodyDiv w:val="1"/>
      <w:marLeft w:val="0"/>
      <w:marRight w:val="0"/>
      <w:marTop w:val="0"/>
      <w:marBottom w:val="0"/>
      <w:divBdr>
        <w:top w:val="none" w:sz="0" w:space="0" w:color="auto"/>
        <w:left w:val="none" w:sz="0" w:space="0" w:color="auto"/>
        <w:bottom w:val="none" w:sz="0" w:space="0" w:color="auto"/>
        <w:right w:val="none" w:sz="0" w:space="0" w:color="auto"/>
      </w:divBdr>
      <w:divsChild>
        <w:div w:id="613286354">
          <w:marLeft w:val="0"/>
          <w:marRight w:val="0"/>
          <w:marTop w:val="0"/>
          <w:marBottom w:val="0"/>
          <w:divBdr>
            <w:top w:val="none" w:sz="0" w:space="0" w:color="auto"/>
            <w:left w:val="none" w:sz="0" w:space="0" w:color="auto"/>
            <w:bottom w:val="none" w:sz="0" w:space="0" w:color="auto"/>
            <w:right w:val="none" w:sz="0" w:space="0" w:color="auto"/>
          </w:divBdr>
          <w:divsChild>
            <w:div w:id="1306736054">
              <w:marLeft w:val="0"/>
              <w:marRight w:val="0"/>
              <w:marTop w:val="0"/>
              <w:marBottom w:val="0"/>
              <w:divBdr>
                <w:top w:val="none" w:sz="0" w:space="0" w:color="auto"/>
                <w:left w:val="none" w:sz="0" w:space="0" w:color="auto"/>
                <w:bottom w:val="none" w:sz="0" w:space="0" w:color="auto"/>
                <w:right w:val="none" w:sz="0" w:space="0" w:color="auto"/>
              </w:divBdr>
              <w:divsChild>
                <w:div w:id="1504976009">
                  <w:marLeft w:val="0"/>
                  <w:marRight w:val="0"/>
                  <w:marTop w:val="0"/>
                  <w:marBottom w:val="0"/>
                  <w:divBdr>
                    <w:top w:val="none" w:sz="0" w:space="0" w:color="auto"/>
                    <w:left w:val="none" w:sz="0" w:space="0" w:color="auto"/>
                    <w:bottom w:val="none" w:sz="0" w:space="0" w:color="auto"/>
                    <w:right w:val="none" w:sz="0" w:space="0" w:color="auto"/>
                  </w:divBdr>
                  <w:divsChild>
                    <w:div w:id="313998236">
                      <w:marLeft w:val="0"/>
                      <w:marRight w:val="0"/>
                      <w:marTop w:val="0"/>
                      <w:marBottom w:val="0"/>
                      <w:divBdr>
                        <w:top w:val="none" w:sz="0" w:space="0" w:color="auto"/>
                        <w:left w:val="none" w:sz="0" w:space="0" w:color="auto"/>
                        <w:bottom w:val="none" w:sz="0" w:space="0" w:color="auto"/>
                        <w:right w:val="none" w:sz="0" w:space="0" w:color="auto"/>
                      </w:divBdr>
                      <w:divsChild>
                        <w:div w:id="1794707861">
                          <w:marLeft w:val="0"/>
                          <w:marRight w:val="0"/>
                          <w:marTop w:val="0"/>
                          <w:marBottom w:val="0"/>
                          <w:divBdr>
                            <w:top w:val="none" w:sz="0" w:space="0" w:color="auto"/>
                            <w:left w:val="none" w:sz="0" w:space="0" w:color="auto"/>
                            <w:bottom w:val="none" w:sz="0" w:space="0" w:color="auto"/>
                            <w:right w:val="none" w:sz="0" w:space="0" w:color="auto"/>
                          </w:divBdr>
                          <w:divsChild>
                            <w:div w:id="97919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095578">
      <w:bodyDiv w:val="1"/>
      <w:marLeft w:val="0"/>
      <w:marRight w:val="0"/>
      <w:marTop w:val="0"/>
      <w:marBottom w:val="0"/>
      <w:divBdr>
        <w:top w:val="none" w:sz="0" w:space="0" w:color="auto"/>
        <w:left w:val="none" w:sz="0" w:space="0" w:color="auto"/>
        <w:bottom w:val="none" w:sz="0" w:space="0" w:color="auto"/>
        <w:right w:val="none" w:sz="0" w:space="0" w:color="auto"/>
      </w:divBdr>
      <w:divsChild>
        <w:div w:id="1307127373">
          <w:marLeft w:val="0"/>
          <w:marRight w:val="0"/>
          <w:marTop w:val="0"/>
          <w:marBottom w:val="0"/>
          <w:divBdr>
            <w:top w:val="none" w:sz="0" w:space="0" w:color="auto"/>
            <w:left w:val="none" w:sz="0" w:space="0" w:color="auto"/>
            <w:bottom w:val="none" w:sz="0" w:space="0" w:color="auto"/>
            <w:right w:val="none" w:sz="0" w:space="0" w:color="auto"/>
          </w:divBdr>
          <w:divsChild>
            <w:div w:id="1345744165">
              <w:marLeft w:val="0"/>
              <w:marRight w:val="0"/>
              <w:marTop w:val="0"/>
              <w:marBottom w:val="0"/>
              <w:divBdr>
                <w:top w:val="none" w:sz="0" w:space="0" w:color="auto"/>
                <w:left w:val="none" w:sz="0" w:space="0" w:color="auto"/>
                <w:bottom w:val="none" w:sz="0" w:space="0" w:color="auto"/>
                <w:right w:val="none" w:sz="0" w:space="0" w:color="auto"/>
              </w:divBdr>
              <w:divsChild>
                <w:div w:id="1776170847">
                  <w:marLeft w:val="0"/>
                  <w:marRight w:val="0"/>
                  <w:marTop w:val="0"/>
                  <w:marBottom w:val="0"/>
                  <w:divBdr>
                    <w:top w:val="none" w:sz="0" w:space="0" w:color="auto"/>
                    <w:left w:val="none" w:sz="0" w:space="0" w:color="auto"/>
                    <w:bottom w:val="none" w:sz="0" w:space="0" w:color="auto"/>
                    <w:right w:val="none" w:sz="0" w:space="0" w:color="auto"/>
                  </w:divBdr>
                  <w:divsChild>
                    <w:div w:id="1351761684">
                      <w:marLeft w:val="0"/>
                      <w:marRight w:val="0"/>
                      <w:marTop w:val="0"/>
                      <w:marBottom w:val="0"/>
                      <w:divBdr>
                        <w:top w:val="none" w:sz="0" w:space="0" w:color="auto"/>
                        <w:left w:val="none" w:sz="0" w:space="0" w:color="auto"/>
                        <w:bottom w:val="none" w:sz="0" w:space="0" w:color="auto"/>
                        <w:right w:val="none" w:sz="0" w:space="0" w:color="auto"/>
                      </w:divBdr>
                      <w:divsChild>
                        <w:div w:id="1207986">
                          <w:marLeft w:val="0"/>
                          <w:marRight w:val="0"/>
                          <w:marTop w:val="0"/>
                          <w:marBottom w:val="0"/>
                          <w:divBdr>
                            <w:top w:val="none" w:sz="0" w:space="0" w:color="auto"/>
                            <w:left w:val="none" w:sz="0" w:space="0" w:color="auto"/>
                            <w:bottom w:val="none" w:sz="0" w:space="0" w:color="auto"/>
                            <w:right w:val="none" w:sz="0" w:space="0" w:color="auto"/>
                          </w:divBdr>
                          <w:divsChild>
                            <w:div w:id="1867866405">
                              <w:marLeft w:val="0"/>
                              <w:marRight w:val="0"/>
                              <w:marTop w:val="0"/>
                              <w:marBottom w:val="0"/>
                              <w:divBdr>
                                <w:top w:val="none" w:sz="0" w:space="0" w:color="auto"/>
                                <w:left w:val="none" w:sz="0" w:space="0" w:color="auto"/>
                                <w:bottom w:val="none" w:sz="0" w:space="0" w:color="auto"/>
                                <w:right w:val="none" w:sz="0" w:space="0" w:color="auto"/>
                              </w:divBdr>
                              <w:divsChild>
                                <w:div w:id="602081016">
                                  <w:marLeft w:val="0"/>
                                  <w:marRight w:val="0"/>
                                  <w:marTop w:val="0"/>
                                  <w:marBottom w:val="0"/>
                                  <w:divBdr>
                                    <w:top w:val="none" w:sz="0" w:space="0" w:color="auto"/>
                                    <w:left w:val="none" w:sz="0" w:space="0" w:color="auto"/>
                                    <w:bottom w:val="none" w:sz="0" w:space="0" w:color="auto"/>
                                    <w:right w:val="none" w:sz="0" w:space="0" w:color="auto"/>
                                  </w:divBdr>
                                  <w:divsChild>
                                    <w:div w:id="189041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6050439">
      <w:bodyDiv w:val="1"/>
      <w:marLeft w:val="0"/>
      <w:marRight w:val="0"/>
      <w:marTop w:val="0"/>
      <w:marBottom w:val="0"/>
      <w:divBdr>
        <w:top w:val="none" w:sz="0" w:space="0" w:color="auto"/>
        <w:left w:val="none" w:sz="0" w:space="0" w:color="auto"/>
        <w:bottom w:val="none" w:sz="0" w:space="0" w:color="auto"/>
        <w:right w:val="none" w:sz="0" w:space="0" w:color="auto"/>
      </w:divBdr>
      <w:divsChild>
        <w:div w:id="1539049205">
          <w:marLeft w:val="0"/>
          <w:marRight w:val="0"/>
          <w:marTop w:val="0"/>
          <w:marBottom w:val="0"/>
          <w:divBdr>
            <w:top w:val="single" w:sz="2" w:space="0" w:color="2E2E2E"/>
            <w:left w:val="single" w:sz="2" w:space="0" w:color="2E2E2E"/>
            <w:bottom w:val="single" w:sz="2" w:space="0" w:color="2E2E2E"/>
            <w:right w:val="single" w:sz="2" w:space="0" w:color="2E2E2E"/>
          </w:divBdr>
          <w:divsChild>
            <w:div w:id="1618291827">
              <w:marLeft w:val="0"/>
              <w:marRight w:val="0"/>
              <w:marTop w:val="0"/>
              <w:marBottom w:val="0"/>
              <w:divBdr>
                <w:top w:val="single" w:sz="6" w:space="0" w:color="C9C9C9"/>
                <w:left w:val="none" w:sz="0" w:space="0" w:color="auto"/>
                <w:bottom w:val="none" w:sz="0" w:space="0" w:color="auto"/>
                <w:right w:val="none" w:sz="0" w:space="0" w:color="auto"/>
              </w:divBdr>
              <w:divsChild>
                <w:div w:id="1782794568">
                  <w:marLeft w:val="0"/>
                  <w:marRight w:val="0"/>
                  <w:marTop w:val="0"/>
                  <w:marBottom w:val="0"/>
                  <w:divBdr>
                    <w:top w:val="none" w:sz="0" w:space="0" w:color="auto"/>
                    <w:left w:val="none" w:sz="0" w:space="0" w:color="auto"/>
                    <w:bottom w:val="none" w:sz="0" w:space="0" w:color="auto"/>
                    <w:right w:val="none" w:sz="0" w:space="0" w:color="auto"/>
                  </w:divBdr>
                  <w:divsChild>
                    <w:div w:id="1443766914">
                      <w:marLeft w:val="0"/>
                      <w:marRight w:val="0"/>
                      <w:marTop w:val="0"/>
                      <w:marBottom w:val="0"/>
                      <w:divBdr>
                        <w:top w:val="none" w:sz="0" w:space="0" w:color="auto"/>
                        <w:left w:val="none" w:sz="0" w:space="0" w:color="auto"/>
                        <w:bottom w:val="none" w:sz="0" w:space="0" w:color="auto"/>
                        <w:right w:val="none" w:sz="0" w:space="0" w:color="auto"/>
                      </w:divBdr>
                      <w:divsChild>
                        <w:div w:id="1281574522">
                          <w:marLeft w:val="0"/>
                          <w:marRight w:val="0"/>
                          <w:marTop w:val="0"/>
                          <w:marBottom w:val="0"/>
                          <w:divBdr>
                            <w:top w:val="none" w:sz="0" w:space="0" w:color="auto"/>
                            <w:left w:val="none" w:sz="0" w:space="0" w:color="auto"/>
                            <w:bottom w:val="none" w:sz="0" w:space="0" w:color="auto"/>
                            <w:right w:val="none" w:sz="0" w:space="0" w:color="auto"/>
                          </w:divBdr>
                          <w:divsChild>
                            <w:div w:id="503934278">
                              <w:marLeft w:val="0"/>
                              <w:marRight w:val="0"/>
                              <w:marTop w:val="225"/>
                              <w:marBottom w:val="180"/>
                              <w:divBdr>
                                <w:top w:val="single" w:sz="6" w:space="0" w:color="DFDFDF"/>
                                <w:left w:val="single" w:sz="6" w:space="0" w:color="DFDFDF"/>
                                <w:bottom w:val="single" w:sz="6" w:space="0" w:color="DFDFDF"/>
                                <w:right w:val="single" w:sz="6" w:space="0" w:color="DFDFDF"/>
                              </w:divBdr>
                              <w:divsChild>
                                <w:div w:id="2018339031">
                                  <w:marLeft w:val="0"/>
                                  <w:marRight w:val="0"/>
                                  <w:marTop w:val="0"/>
                                  <w:marBottom w:val="0"/>
                                  <w:divBdr>
                                    <w:top w:val="none" w:sz="0" w:space="0" w:color="auto"/>
                                    <w:left w:val="none" w:sz="0" w:space="0" w:color="auto"/>
                                    <w:bottom w:val="none" w:sz="0" w:space="0" w:color="auto"/>
                                    <w:right w:val="none" w:sz="0" w:space="0" w:color="auto"/>
                                  </w:divBdr>
                                  <w:divsChild>
                                    <w:div w:id="1470828005">
                                      <w:marLeft w:val="0"/>
                                      <w:marRight w:val="0"/>
                                      <w:marTop w:val="0"/>
                                      <w:marBottom w:val="0"/>
                                      <w:divBdr>
                                        <w:top w:val="none" w:sz="0" w:space="0" w:color="auto"/>
                                        <w:left w:val="none" w:sz="0" w:space="0" w:color="auto"/>
                                        <w:bottom w:val="none" w:sz="0" w:space="0" w:color="auto"/>
                                        <w:right w:val="none" w:sz="0" w:space="0" w:color="auto"/>
                                      </w:divBdr>
                                    </w:div>
                                    <w:div w:id="2051876700">
                                      <w:marLeft w:val="0"/>
                                      <w:marRight w:val="0"/>
                                      <w:marTop w:val="0"/>
                                      <w:marBottom w:val="0"/>
                                      <w:divBdr>
                                        <w:top w:val="none" w:sz="0" w:space="0" w:color="auto"/>
                                        <w:left w:val="none" w:sz="0" w:space="0" w:color="auto"/>
                                        <w:bottom w:val="none" w:sz="0" w:space="0" w:color="auto"/>
                                        <w:right w:val="none" w:sz="0" w:space="0" w:color="auto"/>
                                      </w:divBdr>
                                      <w:divsChild>
                                        <w:div w:id="1580092818">
                                          <w:marLeft w:val="0"/>
                                          <w:marRight w:val="0"/>
                                          <w:marTop w:val="75"/>
                                          <w:marBottom w:val="105"/>
                                          <w:divBdr>
                                            <w:top w:val="single" w:sz="6" w:space="2" w:color="598C20"/>
                                            <w:left w:val="single" w:sz="6" w:space="5" w:color="598C20"/>
                                            <w:bottom w:val="single" w:sz="6" w:space="2" w:color="598C20"/>
                                            <w:right w:val="single" w:sz="6" w:space="5" w:color="598C20"/>
                                          </w:divBdr>
                                        </w:div>
                                      </w:divsChild>
                                    </w:div>
                                    <w:div w:id="154239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714333">
      <w:bodyDiv w:val="1"/>
      <w:marLeft w:val="0"/>
      <w:marRight w:val="0"/>
      <w:marTop w:val="0"/>
      <w:marBottom w:val="0"/>
      <w:divBdr>
        <w:top w:val="none" w:sz="0" w:space="0" w:color="auto"/>
        <w:left w:val="none" w:sz="0" w:space="0" w:color="auto"/>
        <w:bottom w:val="none" w:sz="0" w:space="0" w:color="auto"/>
        <w:right w:val="none" w:sz="0" w:space="0" w:color="auto"/>
      </w:divBdr>
      <w:divsChild>
        <w:div w:id="2046640175">
          <w:marLeft w:val="0"/>
          <w:marRight w:val="0"/>
          <w:marTop w:val="0"/>
          <w:marBottom w:val="0"/>
          <w:divBdr>
            <w:top w:val="none" w:sz="0" w:space="0" w:color="auto"/>
            <w:left w:val="none" w:sz="0" w:space="0" w:color="auto"/>
            <w:bottom w:val="none" w:sz="0" w:space="0" w:color="auto"/>
            <w:right w:val="none" w:sz="0" w:space="0" w:color="auto"/>
          </w:divBdr>
          <w:divsChild>
            <w:div w:id="1578704201">
              <w:marLeft w:val="0"/>
              <w:marRight w:val="0"/>
              <w:marTop w:val="0"/>
              <w:marBottom w:val="0"/>
              <w:divBdr>
                <w:top w:val="none" w:sz="0" w:space="0" w:color="auto"/>
                <w:left w:val="none" w:sz="0" w:space="0" w:color="auto"/>
                <w:bottom w:val="none" w:sz="0" w:space="0" w:color="auto"/>
                <w:right w:val="none" w:sz="0" w:space="0" w:color="auto"/>
              </w:divBdr>
              <w:divsChild>
                <w:div w:id="421799007">
                  <w:marLeft w:val="0"/>
                  <w:marRight w:val="0"/>
                  <w:marTop w:val="0"/>
                  <w:marBottom w:val="0"/>
                  <w:divBdr>
                    <w:top w:val="none" w:sz="0" w:space="0" w:color="auto"/>
                    <w:left w:val="none" w:sz="0" w:space="0" w:color="auto"/>
                    <w:bottom w:val="none" w:sz="0" w:space="0" w:color="auto"/>
                    <w:right w:val="none" w:sz="0" w:space="0" w:color="auto"/>
                  </w:divBdr>
                  <w:divsChild>
                    <w:div w:id="714622615">
                      <w:marLeft w:val="0"/>
                      <w:marRight w:val="0"/>
                      <w:marTop w:val="0"/>
                      <w:marBottom w:val="0"/>
                      <w:divBdr>
                        <w:top w:val="none" w:sz="0" w:space="0" w:color="auto"/>
                        <w:left w:val="none" w:sz="0" w:space="0" w:color="auto"/>
                        <w:bottom w:val="none" w:sz="0" w:space="0" w:color="auto"/>
                        <w:right w:val="none" w:sz="0" w:space="0" w:color="auto"/>
                      </w:divBdr>
                      <w:divsChild>
                        <w:div w:id="627127811">
                          <w:marLeft w:val="0"/>
                          <w:marRight w:val="0"/>
                          <w:marTop w:val="0"/>
                          <w:marBottom w:val="0"/>
                          <w:divBdr>
                            <w:top w:val="none" w:sz="0" w:space="0" w:color="auto"/>
                            <w:left w:val="none" w:sz="0" w:space="0" w:color="auto"/>
                            <w:bottom w:val="none" w:sz="0" w:space="0" w:color="auto"/>
                            <w:right w:val="none" w:sz="0" w:space="0" w:color="auto"/>
                          </w:divBdr>
                          <w:divsChild>
                            <w:div w:id="9493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6750103">
      <w:bodyDiv w:val="1"/>
      <w:marLeft w:val="0"/>
      <w:marRight w:val="0"/>
      <w:marTop w:val="0"/>
      <w:marBottom w:val="0"/>
      <w:divBdr>
        <w:top w:val="none" w:sz="0" w:space="0" w:color="auto"/>
        <w:left w:val="none" w:sz="0" w:space="0" w:color="auto"/>
        <w:bottom w:val="none" w:sz="0" w:space="0" w:color="auto"/>
        <w:right w:val="none" w:sz="0" w:space="0" w:color="auto"/>
      </w:divBdr>
      <w:divsChild>
        <w:div w:id="776367631">
          <w:marLeft w:val="0"/>
          <w:marRight w:val="0"/>
          <w:marTop w:val="0"/>
          <w:marBottom w:val="0"/>
          <w:divBdr>
            <w:top w:val="none" w:sz="0" w:space="0" w:color="auto"/>
            <w:left w:val="none" w:sz="0" w:space="0" w:color="auto"/>
            <w:bottom w:val="none" w:sz="0" w:space="0" w:color="auto"/>
            <w:right w:val="none" w:sz="0" w:space="0" w:color="auto"/>
          </w:divBdr>
          <w:divsChild>
            <w:div w:id="2088067807">
              <w:marLeft w:val="0"/>
              <w:marRight w:val="0"/>
              <w:marTop w:val="0"/>
              <w:marBottom w:val="0"/>
              <w:divBdr>
                <w:top w:val="none" w:sz="0" w:space="0" w:color="auto"/>
                <w:left w:val="none" w:sz="0" w:space="0" w:color="auto"/>
                <w:bottom w:val="none" w:sz="0" w:space="0" w:color="auto"/>
                <w:right w:val="none" w:sz="0" w:space="0" w:color="auto"/>
              </w:divBdr>
              <w:divsChild>
                <w:div w:id="886339345">
                  <w:marLeft w:val="0"/>
                  <w:marRight w:val="0"/>
                  <w:marTop w:val="0"/>
                  <w:marBottom w:val="0"/>
                  <w:divBdr>
                    <w:top w:val="none" w:sz="0" w:space="0" w:color="auto"/>
                    <w:left w:val="none" w:sz="0" w:space="0" w:color="auto"/>
                    <w:bottom w:val="none" w:sz="0" w:space="0" w:color="auto"/>
                    <w:right w:val="none" w:sz="0" w:space="0" w:color="auto"/>
                  </w:divBdr>
                  <w:divsChild>
                    <w:div w:id="979382937">
                      <w:marLeft w:val="0"/>
                      <w:marRight w:val="0"/>
                      <w:marTop w:val="0"/>
                      <w:marBottom w:val="0"/>
                      <w:divBdr>
                        <w:top w:val="none" w:sz="0" w:space="0" w:color="auto"/>
                        <w:left w:val="none" w:sz="0" w:space="0" w:color="auto"/>
                        <w:bottom w:val="none" w:sz="0" w:space="0" w:color="auto"/>
                        <w:right w:val="none" w:sz="0" w:space="0" w:color="auto"/>
                      </w:divBdr>
                      <w:divsChild>
                        <w:div w:id="220754860">
                          <w:marLeft w:val="0"/>
                          <w:marRight w:val="0"/>
                          <w:marTop w:val="0"/>
                          <w:marBottom w:val="0"/>
                          <w:divBdr>
                            <w:top w:val="none" w:sz="0" w:space="0" w:color="auto"/>
                            <w:left w:val="none" w:sz="0" w:space="0" w:color="auto"/>
                            <w:bottom w:val="none" w:sz="0" w:space="0" w:color="auto"/>
                            <w:right w:val="none" w:sz="0" w:space="0" w:color="auto"/>
                          </w:divBdr>
                          <w:divsChild>
                            <w:div w:id="794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8690023">
      <w:bodyDiv w:val="1"/>
      <w:marLeft w:val="0"/>
      <w:marRight w:val="0"/>
      <w:marTop w:val="0"/>
      <w:marBottom w:val="0"/>
      <w:divBdr>
        <w:top w:val="none" w:sz="0" w:space="0" w:color="auto"/>
        <w:left w:val="none" w:sz="0" w:space="0" w:color="auto"/>
        <w:bottom w:val="none" w:sz="0" w:space="0" w:color="auto"/>
        <w:right w:val="none" w:sz="0" w:space="0" w:color="auto"/>
      </w:divBdr>
      <w:divsChild>
        <w:div w:id="2111702379">
          <w:marLeft w:val="0"/>
          <w:marRight w:val="0"/>
          <w:marTop w:val="0"/>
          <w:marBottom w:val="0"/>
          <w:divBdr>
            <w:top w:val="none" w:sz="0" w:space="0" w:color="auto"/>
            <w:left w:val="none" w:sz="0" w:space="0" w:color="auto"/>
            <w:bottom w:val="none" w:sz="0" w:space="0" w:color="auto"/>
            <w:right w:val="none" w:sz="0" w:space="0" w:color="auto"/>
          </w:divBdr>
          <w:divsChild>
            <w:div w:id="1878347575">
              <w:marLeft w:val="0"/>
              <w:marRight w:val="0"/>
              <w:marTop w:val="0"/>
              <w:marBottom w:val="0"/>
              <w:divBdr>
                <w:top w:val="none" w:sz="0" w:space="0" w:color="auto"/>
                <w:left w:val="none" w:sz="0" w:space="0" w:color="auto"/>
                <w:bottom w:val="none" w:sz="0" w:space="0" w:color="auto"/>
                <w:right w:val="none" w:sz="0" w:space="0" w:color="auto"/>
              </w:divBdr>
              <w:divsChild>
                <w:div w:id="892890673">
                  <w:marLeft w:val="0"/>
                  <w:marRight w:val="0"/>
                  <w:marTop w:val="0"/>
                  <w:marBottom w:val="0"/>
                  <w:divBdr>
                    <w:top w:val="none" w:sz="0" w:space="0" w:color="auto"/>
                    <w:left w:val="none" w:sz="0" w:space="0" w:color="auto"/>
                    <w:bottom w:val="none" w:sz="0" w:space="0" w:color="auto"/>
                    <w:right w:val="none" w:sz="0" w:space="0" w:color="auto"/>
                  </w:divBdr>
                  <w:divsChild>
                    <w:div w:id="1225918089">
                      <w:marLeft w:val="0"/>
                      <w:marRight w:val="0"/>
                      <w:marTop w:val="0"/>
                      <w:marBottom w:val="0"/>
                      <w:divBdr>
                        <w:top w:val="none" w:sz="0" w:space="0" w:color="auto"/>
                        <w:left w:val="none" w:sz="0" w:space="0" w:color="auto"/>
                        <w:bottom w:val="none" w:sz="0" w:space="0" w:color="auto"/>
                        <w:right w:val="none" w:sz="0" w:space="0" w:color="auto"/>
                      </w:divBdr>
                      <w:divsChild>
                        <w:div w:id="1304502042">
                          <w:marLeft w:val="0"/>
                          <w:marRight w:val="0"/>
                          <w:marTop w:val="0"/>
                          <w:marBottom w:val="0"/>
                          <w:divBdr>
                            <w:top w:val="none" w:sz="0" w:space="0" w:color="auto"/>
                            <w:left w:val="none" w:sz="0" w:space="0" w:color="auto"/>
                            <w:bottom w:val="none" w:sz="0" w:space="0" w:color="auto"/>
                            <w:right w:val="none" w:sz="0" w:space="0" w:color="auto"/>
                          </w:divBdr>
                          <w:divsChild>
                            <w:div w:id="17939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7328052">
      <w:bodyDiv w:val="1"/>
      <w:marLeft w:val="0"/>
      <w:marRight w:val="0"/>
      <w:marTop w:val="0"/>
      <w:marBottom w:val="0"/>
      <w:divBdr>
        <w:top w:val="none" w:sz="0" w:space="0" w:color="auto"/>
        <w:left w:val="none" w:sz="0" w:space="0" w:color="auto"/>
        <w:bottom w:val="none" w:sz="0" w:space="0" w:color="auto"/>
        <w:right w:val="none" w:sz="0" w:space="0" w:color="auto"/>
      </w:divBdr>
    </w:div>
    <w:div w:id="1878547972">
      <w:bodyDiv w:val="1"/>
      <w:marLeft w:val="0"/>
      <w:marRight w:val="0"/>
      <w:marTop w:val="0"/>
      <w:marBottom w:val="0"/>
      <w:divBdr>
        <w:top w:val="none" w:sz="0" w:space="0" w:color="auto"/>
        <w:left w:val="none" w:sz="0" w:space="0" w:color="auto"/>
        <w:bottom w:val="none" w:sz="0" w:space="0" w:color="auto"/>
        <w:right w:val="none" w:sz="0" w:space="0" w:color="auto"/>
      </w:divBdr>
      <w:divsChild>
        <w:div w:id="538857170">
          <w:marLeft w:val="0"/>
          <w:marRight w:val="0"/>
          <w:marTop w:val="0"/>
          <w:marBottom w:val="0"/>
          <w:divBdr>
            <w:top w:val="none" w:sz="0" w:space="0" w:color="auto"/>
            <w:left w:val="none" w:sz="0" w:space="0" w:color="auto"/>
            <w:bottom w:val="none" w:sz="0" w:space="0" w:color="auto"/>
            <w:right w:val="none" w:sz="0" w:space="0" w:color="auto"/>
          </w:divBdr>
          <w:divsChild>
            <w:div w:id="378550427">
              <w:marLeft w:val="0"/>
              <w:marRight w:val="0"/>
              <w:marTop w:val="0"/>
              <w:marBottom w:val="0"/>
              <w:divBdr>
                <w:top w:val="none" w:sz="0" w:space="0" w:color="auto"/>
                <w:left w:val="none" w:sz="0" w:space="0" w:color="auto"/>
                <w:bottom w:val="none" w:sz="0" w:space="0" w:color="auto"/>
                <w:right w:val="none" w:sz="0" w:space="0" w:color="auto"/>
              </w:divBdr>
              <w:divsChild>
                <w:div w:id="884683940">
                  <w:marLeft w:val="0"/>
                  <w:marRight w:val="0"/>
                  <w:marTop w:val="0"/>
                  <w:marBottom w:val="0"/>
                  <w:divBdr>
                    <w:top w:val="none" w:sz="0" w:space="0" w:color="auto"/>
                    <w:left w:val="none" w:sz="0" w:space="0" w:color="auto"/>
                    <w:bottom w:val="none" w:sz="0" w:space="0" w:color="auto"/>
                    <w:right w:val="none" w:sz="0" w:space="0" w:color="auto"/>
                  </w:divBdr>
                  <w:divsChild>
                    <w:div w:id="467208661">
                      <w:marLeft w:val="0"/>
                      <w:marRight w:val="0"/>
                      <w:marTop w:val="0"/>
                      <w:marBottom w:val="0"/>
                      <w:divBdr>
                        <w:top w:val="none" w:sz="0" w:space="0" w:color="auto"/>
                        <w:left w:val="none" w:sz="0" w:space="0" w:color="auto"/>
                        <w:bottom w:val="none" w:sz="0" w:space="0" w:color="auto"/>
                        <w:right w:val="none" w:sz="0" w:space="0" w:color="auto"/>
                      </w:divBdr>
                      <w:divsChild>
                        <w:div w:id="1330403185">
                          <w:marLeft w:val="0"/>
                          <w:marRight w:val="0"/>
                          <w:marTop w:val="0"/>
                          <w:marBottom w:val="0"/>
                          <w:divBdr>
                            <w:top w:val="none" w:sz="0" w:space="0" w:color="auto"/>
                            <w:left w:val="none" w:sz="0" w:space="0" w:color="auto"/>
                            <w:bottom w:val="none" w:sz="0" w:space="0" w:color="auto"/>
                            <w:right w:val="none" w:sz="0" w:space="0" w:color="auto"/>
                          </w:divBdr>
                          <w:divsChild>
                            <w:div w:id="138113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496565">
      <w:bodyDiv w:val="1"/>
      <w:marLeft w:val="0"/>
      <w:marRight w:val="0"/>
      <w:marTop w:val="0"/>
      <w:marBottom w:val="0"/>
      <w:divBdr>
        <w:top w:val="none" w:sz="0" w:space="0" w:color="auto"/>
        <w:left w:val="none" w:sz="0" w:space="0" w:color="auto"/>
        <w:bottom w:val="none" w:sz="0" w:space="0" w:color="auto"/>
        <w:right w:val="none" w:sz="0" w:space="0" w:color="auto"/>
      </w:divBdr>
      <w:divsChild>
        <w:div w:id="1720591849">
          <w:marLeft w:val="0"/>
          <w:marRight w:val="0"/>
          <w:marTop w:val="0"/>
          <w:marBottom w:val="0"/>
          <w:divBdr>
            <w:top w:val="none" w:sz="0" w:space="0" w:color="auto"/>
            <w:left w:val="none" w:sz="0" w:space="0" w:color="auto"/>
            <w:bottom w:val="none" w:sz="0" w:space="0" w:color="auto"/>
            <w:right w:val="none" w:sz="0" w:space="0" w:color="auto"/>
          </w:divBdr>
          <w:divsChild>
            <w:div w:id="1168327077">
              <w:marLeft w:val="0"/>
              <w:marRight w:val="0"/>
              <w:marTop w:val="0"/>
              <w:marBottom w:val="0"/>
              <w:divBdr>
                <w:top w:val="none" w:sz="0" w:space="0" w:color="auto"/>
                <w:left w:val="none" w:sz="0" w:space="0" w:color="auto"/>
                <w:bottom w:val="none" w:sz="0" w:space="0" w:color="auto"/>
                <w:right w:val="none" w:sz="0" w:space="0" w:color="auto"/>
              </w:divBdr>
              <w:divsChild>
                <w:div w:id="137651049">
                  <w:marLeft w:val="0"/>
                  <w:marRight w:val="0"/>
                  <w:marTop w:val="0"/>
                  <w:marBottom w:val="0"/>
                  <w:divBdr>
                    <w:top w:val="none" w:sz="0" w:space="0" w:color="auto"/>
                    <w:left w:val="none" w:sz="0" w:space="0" w:color="auto"/>
                    <w:bottom w:val="none" w:sz="0" w:space="0" w:color="auto"/>
                    <w:right w:val="none" w:sz="0" w:space="0" w:color="auto"/>
                  </w:divBdr>
                  <w:divsChild>
                    <w:div w:id="478503129">
                      <w:marLeft w:val="0"/>
                      <w:marRight w:val="0"/>
                      <w:marTop w:val="0"/>
                      <w:marBottom w:val="0"/>
                      <w:divBdr>
                        <w:top w:val="none" w:sz="0" w:space="0" w:color="auto"/>
                        <w:left w:val="none" w:sz="0" w:space="0" w:color="auto"/>
                        <w:bottom w:val="none" w:sz="0" w:space="0" w:color="auto"/>
                        <w:right w:val="none" w:sz="0" w:space="0" w:color="auto"/>
                      </w:divBdr>
                      <w:divsChild>
                        <w:div w:id="1959682522">
                          <w:marLeft w:val="0"/>
                          <w:marRight w:val="0"/>
                          <w:marTop w:val="0"/>
                          <w:marBottom w:val="0"/>
                          <w:divBdr>
                            <w:top w:val="none" w:sz="0" w:space="0" w:color="auto"/>
                            <w:left w:val="none" w:sz="0" w:space="0" w:color="auto"/>
                            <w:bottom w:val="none" w:sz="0" w:space="0" w:color="auto"/>
                            <w:right w:val="none" w:sz="0" w:space="0" w:color="auto"/>
                          </w:divBdr>
                          <w:divsChild>
                            <w:div w:id="9509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387810">
      <w:bodyDiv w:val="1"/>
      <w:marLeft w:val="0"/>
      <w:marRight w:val="0"/>
      <w:marTop w:val="0"/>
      <w:marBottom w:val="0"/>
      <w:divBdr>
        <w:top w:val="none" w:sz="0" w:space="0" w:color="auto"/>
        <w:left w:val="none" w:sz="0" w:space="0" w:color="auto"/>
        <w:bottom w:val="none" w:sz="0" w:space="0" w:color="auto"/>
        <w:right w:val="none" w:sz="0" w:space="0" w:color="auto"/>
      </w:divBdr>
      <w:divsChild>
        <w:div w:id="185489437">
          <w:marLeft w:val="0"/>
          <w:marRight w:val="0"/>
          <w:marTop w:val="0"/>
          <w:marBottom w:val="0"/>
          <w:divBdr>
            <w:top w:val="none" w:sz="0" w:space="0" w:color="auto"/>
            <w:left w:val="none" w:sz="0" w:space="0" w:color="auto"/>
            <w:bottom w:val="none" w:sz="0" w:space="0" w:color="auto"/>
            <w:right w:val="none" w:sz="0" w:space="0" w:color="auto"/>
          </w:divBdr>
          <w:divsChild>
            <w:div w:id="2013217550">
              <w:marLeft w:val="0"/>
              <w:marRight w:val="0"/>
              <w:marTop w:val="0"/>
              <w:marBottom w:val="0"/>
              <w:divBdr>
                <w:top w:val="none" w:sz="0" w:space="0" w:color="auto"/>
                <w:left w:val="none" w:sz="0" w:space="0" w:color="auto"/>
                <w:bottom w:val="none" w:sz="0" w:space="0" w:color="auto"/>
                <w:right w:val="none" w:sz="0" w:space="0" w:color="auto"/>
              </w:divBdr>
              <w:divsChild>
                <w:div w:id="613362884">
                  <w:marLeft w:val="0"/>
                  <w:marRight w:val="0"/>
                  <w:marTop w:val="0"/>
                  <w:marBottom w:val="0"/>
                  <w:divBdr>
                    <w:top w:val="none" w:sz="0" w:space="0" w:color="auto"/>
                    <w:left w:val="none" w:sz="0" w:space="0" w:color="auto"/>
                    <w:bottom w:val="none" w:sz="0" w:space="0" w:color="auto"/>
                    <w:right w:val="none" w:sz="0" w:space="0" w:color="auto"/>
                  </w:divBdr>
                  <w:divsChild>
                    <w:div w:id="1081299067">
                      <w:marLeft w:val="0"/>
                      <w:marRight w:val="0"/>
                      <w:marTop w:val="0"/>
                      <w:marBottom w:val="0"/>
                      <w:divBdr>
                        <w:top w:val="none" w:sz="0" w:space="0" w:color="auto"/>
                        <w:left w:val="none" w:sz="0" w:space="0" w:color="auto"/>
                        <w:bottom w:val="none" w:sz="0" w:space="0" w:color="auto"/>
                        <w:right w:val="none" w:sz="0" w:space="0" w:color="auto"/>
                      </w:divBdr>
                      <w:divsChild>
                        <w:div w:id="902838548">
                          <w:marLeft w:val="0"/>
                          <w:marRight w:val="0"/>
                          <w:marTop w:val="0"/>
                          <w:marBottom w:val="0"/>
                          <w:divBdr>
                            <w:top w:val="none" w:sz="0" w:space="0" w:color="auto"/>
                            <w:left w:val="none" w:sz="0" w:space="0" w:color="auto"/>
                            <w:bottom w:val="none" w:sz="0" w:space="0" w:color="auto"/>
                            <w:right w:val="none" w:sz="0" w:space="0" w:color="auto"/>
                          </w:divBdr>
                          <w:divsChild>
                            <w:div w:id="183502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karlhanson@gmail.com" TargetMode="External"/><Relationship Id="rId13" Type="http://schemas.openxmlformats.org/officeDocument/2006/relationships/header" Target="header2.xml"/><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ooks.google.ca/books?hl=en&amp;lr=&amp;id=ZLMXDAAAQBAJ&amp;oi=fnd&amp;pg=PP1&amp;dq=prevalence+sexual+assault+%22world+health+organization%22&amp;ots=eYefQ7Wefr&amp;sig=yQ4qvCyTCF25WKZmHthEyl5IrFw"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publicsafety.gc.ca/res/cor/rep/2004-03-se-off-eng.aspx"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statcan.gc.ca/pub/85-002-x/2014001/article/14008-eng.htma8" TargetMode="External"/><Relationship Id="rId14" Type="http://schemas.openxmlformats.org/officeDocument/2006/relationships/footer" Target="footer1.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karl.hanson\AppData\Roaming\OpenText\DM\Temp\PS-SP-%232081166-v1-Graph_for_Kar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1"/>
          <c:order val="0"/>
          <c:tx>
            <c:strRef>
              <c:f>Sheet1!$A$40</c:f>
              <c:strCache>
                <c:ptCount val="1"/>
                <c:pt idx="0">
                  <c:v>Well Above Average (6)</c:v>
                </c:pt>
              </c:strCache>
            </c:strRef>
          </c:tx>
          <c:spPr>
            <a:ln>
              <a:solidFill>
                <a:schemeClr val="tx1"/>
              </a:solidFill>
              <a:prstDash val="sysDot"/>
            </a:ln>
          </c:spPr>
          <c:marker>
            <c:symbol val="none"/>
          </c:marker>
          <c:cat>
            <c:numRef>
              <c:f>Sheet1!$B$47:$AA$47</c:f>
              <c:numCache>
                <c:formatCode>General</c:formatCode>
                <c:ptCount val="2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numCache>
            </c:numRef>
          </c:cat>
          <c:val>
            <c:numRef>
              <c:f>Sheet1!$B$40:$AA$40</c:f>
              <c:numCache>
                <c:formatCode>General</c:formatCode>
                <c:ptCount val="26"/>
                <c:pt idx="0">
                  <c:v>2.4458855465296313E-2</c:v>
                </c:pt>
                <c:pt idx="1">
                  <c:v>2.1541438177676515E-2</c:v>
                </c:pt>
                <c:pt idx="2">
                  <c:v>1.8965241157593998E-2</c:v>
                </c:pt>
                <c:pt idx="3">
                  <c:v>1.669188239679931E-2</c:v>
                </c:pt>
                <c:pt idx="4">
                  <c:v>1.4686950919546899E-2</c:v>
                </c:pt>
                <c:pt idx="5">
                  <c:v>1.2919675967443102E-2</c:v>
                </c:pt>
                <c:pt idx="6">
                  <c:v>1.1362604168624401E-2</c:v>
                </c:pt>
                <c:pt idx="7">
                  <c:v>9.9912902731685189E-3</c:v>
                </c:pt>
                <c:pt idx="8">
                  <c:v>8.7840051149879559E-3</c:v>
                </c:pt>
                <c:pt idx="9">
                  <c:v>7.7214629791933767E-3</c:v>
                </c:pt>
                <c:pt idx="10">
                  <c:v>6.7865694351046902E-3</c:v>
                </c:pt>
                <c:pt idx="11">
                  <c:v>5.9641898693095384E-3</c:v>
                </c:pt>
                <c:pt idx="12">
                  <c:v>5.2409383604883108E-3</c:v>
                </c:pt>
                <c:pt idx="13">
                  <c:v>4.6049861276188297E-3</c:v>
                </c:pt>
                <c:pt idx="14">
                  <c:v>4.045888513894931E-3</c:v>
                </c:pt>
                <c:pt idx="15">
                  <c:v>3.5544293063036517E-3</c:v>
                </c:pt>
                <c:pt idx="16">
                  <c:v>3.1224811081219136E-3</c:v>
                </c:pt>
                <c:pt idx="17">
                  <c:v>2.7428804571246013E-3</c:v>
                </c:pt>
                <c:pt idx="18">
                  <c:v>2.4093163992680599E-3</c:v>
                </c:pt>
                <c:pt idx="19">
                  <c:v>2.1162312730951612E-3</c:v>
                </c:pt>
                <c:pt idx="20">
                  <c:v>1.8587325242611123E-3</c:v>
                </c:pt>
                <c:pt idx="21">
                  <c:v>1.6325144450196301E-3</c:v>
                </c:pt>
                <c:pt idx="22">
                  <c:v>1.4337888147862711E-3</c:v>
                </c:pt>
                <c:pt idx="23">
                  <c:v>1.259223501061741E-3</c:v>
                </c:pt>
                <c:pt idx="24">
                  <c:v>1.1058881622611307E-3</c:v>
                </c:pt>
                <c:pt idx="25">
                  <c:v>9.7120627344703656E-4</c:v>
                </c:pt>
              </c:numCache>
            </c:numRef>
          </c:val>
          <c:smooth val="0"/>
          <c:extLst>
            <c:ext xmlns:c16="http://schemas.microsoft.com/office/drawing/2014/chart" uri="{C3380CC4-5D6E-409C-BE32-E72D297353CC}">
              <c16:uniqueId val="{00000000-3F23-45A3-802C-5C53727AE09A}"/>
            </c:ext>
          </c:extLst>
        </c:ser>
        <c:ser>
          <c:idx val="0"/>
          <c:order val="1"/>
          <c:tx>
            <c:strRef>
              <c:f>Sheet1!$A$41</c:f>
              <c:strCache>
                <c:ptCount val="1"/>
                <c:pt idx="0">
                  <c:v>Above Average (4)</c:v>
                </c:pt>
              </c:strCache>
            </c:strRef>
          </c:tx>
          <c:spPr>
            <a:ln>
              <a:solidFill>
                <a:srgbClr val="C00000"/>
              </a:solidFill>
              <a:prstDash val="sysDash"/>
            </a:ln>
          </c:spPr>
          <c:marker>
            <c:symbol val="none"/>
          </c:marker>
          <c:cat>
            <c:numRef>
              <c:f>Sheet1!$B$47:$AA$47</c:f>
              <c:numCache>
                <c:formatCode>General</c:formatCode>
                <c:ptCount val="2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numCache>
            </c:numRef>
          </c:cat>
          <c:val>
            <c:numRef>
              <c:f>Sheet1!$B$41:$AA$41</c:f>
              <c:numCache>
                <c:formatCode>General</c:formatCode>
                <c:ptCount val="26"/>
                <c:pt idx="0">
                  <c:v>1.2818050444264702E-2</c:v>
                </c:pt>
                <c:pt idx="1">
                  <c:v>1.1273086615880607E-2</c:v>
                </c:pt>
                <c:pt idx="2">
                  <c:v>9.9124679673499097E-3</c:v>
                </c:pt>
                <c:pt idx="3">
                  <c:v>8.7146233654714442E-3</c:v>
                </c:pt>
                <c:pt idx="4">
                  <c:v>7.6604090133607734E-3</c:v>
                </c:pt>
                <c:pt idx="5">
                  <c:v>6.7328575576392404E-3</c:v>
                </c:pt>
                <c:pt idx="6">
                  <c:v>5.9169478886399434E-3</c:v>
                </c:pt>
                <c:pt idx="7">
                  <c:v>5.1993952453081122E-3</c:v>
                </c:pt>
                <c:pt idx="8">
                  <c:v>4.5684608361552786E-3</c:v>
                </c:pt>
                <c:pt idx="9">
                  <c:v>4.013779925830443E-3</c:v>
                </c:pt>
                <c:pt idx="10">
                  <c:v>3.5262071801089702E-3</c:v>
                </c:pt>
                <c:pt idx="11">
                  <c:v>3.0976779835662012E-3</c:v>
                </c:pt>
                <c:pt idx="12">
                  <c:v>2.7210844227248806E-3</c:v>
                </c:pt>
                <c:pt idx="13">
                  <c:v>2.3901646465304825E-3</c:v>
                </c:pt>
                <c:pt idx="14">
                  <c:v>2.099404362895962E-3</c:v>
                </c:pt>
                <c:pt idx="15">
                  <c:v>1.8439492950957099E-3</c:v>
                </c:pt>
                <c:pt idx="16">
                  <c:v>1.6195274977285506E-3</c:v>
                </c:pt>
                <c:pt idx="17">
                  <c:v>1.4223805134636407E-3</c:v>
                </c:pt>
                <c:pt idx="18">
                  <c:v>1.2492024349637816E-3</c:v>
                </c:pt>
                <c:pt idx="19">
                  <c:v>1.0970860185182606E-3</c:v>
                </c:pt>
                <c:pt idx="20">
                  <c:v>9.6347507514996046E-4</c:v>
                </c:pt>
                <c:pt idx="21">
                  <c:v>8.4612244007958002E-4</c:v>
                </c:pt>
                <c:pt idx="22">
                  <c:v>7.4305289170905947E-4</c:v>
                </c:pt>
                <c:pt idx="23">
                  <c:v>6.5253045635734418E-4</c:v>
                </c:pt>
                <c:pt idx="24">
                  <c:v>5.7302959473051448E-4</c:v>
                </c:pt>
                <c:pt idx="25">
                  <c:v>5.032098205998137E-4</c:v>
                </c:pt>
              </c:numCache>
            </c:numRef>
          </c:val>
          <c:smooth val="0"/>
          <c:extLst>
            <c:ext xmlns:c16="http://schemas.microsoft.com/office/drawing/2014/chart" uri="{C3380CC4-5D6E-409C-BE32-E72D297353CC}">
              <c16:uniqueId val="{00000001-3F23-45A3-802C-5C53727AE09A}"/>
            </c:ext>
          </c:extLst>
        </c:ser>
        <c:ser>
          <c:idx val="2"/>
          <c:order val="2"/>
          <c:tx>
            <c:strRef>
              <c:f>Sheet1!$A$42</c:f>
              <c:strCache>
                <c:ptCount val="1"/>
                <c:pt idx="0">
                  <c:v>Average (2)</c:v>
                </c:pt>
              </c:strCache>
            </c:strRef>
          </c:tx>
          <c:spPr>
            <a:ln w="31750">
              <a:solidFill>
                <a:schemeClr val="accent6">
                  <a:lumMod val="75000"/>
                </a:schemeClr>
              </a:solidFill>
            </a:ln>
          </c:spPr>
          <c:marker>
            <c:symbol val="none"/>
          </c:marker>
          <c:cat>
            <c:numRef>
              <c:f>Sheet1!$B$47:$AA$47</c:f>
              <c:numCache>
                <c:formatCode>General</c:formatCode>
                <c:ptCount val="2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numCache>
            </c:numRef>
          </c:cat>
          <c:val>
            <c:numRef>
              <c:f>Sheet1!$B$42:$AA$42</c:f>
              <c:numCache>
                <c:formatCode>General</c:formatCode>
                <c:ptCount val="26"/>
                <c:pt idx="0">
                  <c:v>6.6795679205723371E-3</c:v>
                </c:pt>
                <c:pt idx="1">
                  <c:v>5.8700778990225435E-3</c:v>
                </c:pt>
                <c:pt idx="2">
                  <c:v>5.1581797205813512E-3</c:v>
                </c:pt>
                <c:pt idx="3">
                  <c:v>4.532223932643669E-3</c:v>
                </c:pt>
                <c:pt idx="4">
                  <c:v>3.9819251360443926E-3</c:v>
                </c:pt>
                <c:pt idx="5">
                  <c:v>3.4982083505724019E-3</c:v>
                </c:pt>
                <c:pt idx="6">
                  <c:v>3.0730712728579542E-3</c:v>
                </c:pt>
                <c:pt idx="7">
                  <c:v>2.6994611195726602E-3</c:v>
                </c:pt>
                <c:pt idx="8">
                  <c:v>2.3711647699905915E-3</c:v>
                </c:pt>
                <c:pt idx="9">
                  <c:v>2.0827109702148201E-3</c:v>
                </c:pt>
                <c:pt idx="10">
                  <c:v>1.8292834272712118E-3</c:v>
                </c:pt>
                <c:pt idx="11">
                  <c:v>1.6066436976895902E-3</c:v>
                </c:pt>
                <c:pt idx="12">
                  <c:v>1.4110628568894798E-3</c:v>
                </c:pt>
                <c:pt idx="13">
                  <c:v>1.2392610188723199E-3</c:v>
                </c:pt>
                <c:pt idx="14">
                  <c:v>1.0883538577271502E-3</c:v>
                </c:pt>
                <c:pt idx="15">
                  <c:v>9.5580536146573256E-4</c:v>
                </c:pt>
                <c:pt idx="16">
                  <c:v>8.3938612353956683E-4</c:v>
                </c:pt>
                <c:pt idx="17">
                  <c:v>7.3713654735813798E-4</c:v>
                </c:pt>
                <c:pt idx="18">
                  <c:v>6.4733440387198865E-4</c:v>
                </c:pt>
                <c:pt idx="19">
                  <c:v>5.6846624170646366E-4</c:v>
                </c:pt>
                <c:pt idx="20">
                  <c:v>4.992022035049397E-4</c:v>
                </c:pt>
                <c:pt idx="21">
                  <c:v>4.3837385125681426E-4</c:v>
                </c:pt>
                <c:pt idx="22">
                  <c:v>3.8495464771358406E-4</c:v>
                </c:pt>
                <c:pt idx="23">
                  <c:v>3.3804278084943143E-4</c:v>
                </c:pt>
                <c:pt idx="24">
                  <c:v>2.9684605403659337E-4</c:v>
                </c:pt>
                <c:pt idx="25">
                  <c:v>2.6066859652223724E-4</c:v>
                </c:pt>
              </c:numCache>
            </c:numRef>
          </c:val>
          <c:smooth val="0"/>
          <c:extLst>
            <c:ext xmlns:c16="http://schemas.microsoft.com/office/drawing/2014/chart" uri="{C3380CC4-5D6E-409C-BE32-E72D297353CC}">
              <c16:uniqueId val="{00000002-3F23-45A3-802C-5C53727AE09A}"/>
            </c:ext>
          </c:extLst>
        </c:ser>
        <c:ser>
          <c:idx val="3"/>
          <c:order val="3"/>
          <c:tx>
            <c:strRef>
              <c:f>Sheet1!$A$43</c:f>
              <c:strCache>
                <c:ptCount val="1"/>
                <c:pt idx="0">
                  <c:v>Below Average (0)</c:v>
                </c:pt>
              </c:strCache>
            </c:strRef>
          </c:tx>
          <c:spPr>
            <a:ln>
              <a:solidFill>
                <a:srgbClr val="0070C0"/>
              </a:solidFill>
              <a:prstDash val="sysDash"/>
            </a:ln>
          </c:spPr>
          <c:marker>
            <c:symbol val="none"/>
          </c:marker>
          <c:cat>
            <c:numRef>
              <c:f>Sheet1!$B$47:$AA$47</c:f>
              <c:numCache>
                <c:formatCode>General</c:formatCode>
                <c:ptCount val="2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numCache>
            </c:numRef>
          </c:cat>
          <c:val>
            <c:numRef>
              <c:f>Sheet1!$B$43:$AA$43</c:f>
              <c:numCache>
                <c:formatCode>General</c:formatCode>
                <c:ptCount val="26"/>
                <c:pt idx="0">
                  <c:v>3.4704310633893328E-3</c:v>
                </c:pt>
                <c:pt idx="1">
                  <c:v>3.0486594302236991E-3</c:v>
                </c:pt>
                <c:pt idx="2">
                  <c:v>2.6780091862131203E-3</c:v>
                </c:pt>
                <c:pt idx="3">
                  <c:v>2.35231557097815E-3</c:v>
                </c:pt>
                <c:pt idx="4">
                  <c:v>2.0661500400454814E-3</c:v>
                </c:pt>
                <c:pt idx="5">
                  <c:v>1.8147339924916009E-3</c:v>
                </c:pt>
                <c:pt idx="6">
                  <c:v>1.5938622283030105E-3</c:v>
                </c:pt>
                <c:pt idx="7">
                  <c:v>1.3998351268784013E-3</c:v>
                </c:pt>
                <c:pt idx="8">
                  <c:v>1.22939862127742E-3</c:v>
                </c:pt>
                <c:pt idx="9">
                  <c:v>1.0796911246867013E-3</c:v>
                </c:pt>
                <c:pt idx="10">
                  <c:v>9.4819664435372663E-4</c:v>
                </c:pt>
                <c:pt idx="11">
                  <c:v>8.3270339279281256E-4</c:v>
                </c:pt>
                <c:pt idx="12">
                  <c:v>7.3126727571925447E-4</c:v>
                </c:pt>
                <c:pt idx="13">
                  <c:v>6.4217970058598798E-4</c:v>
                </c:pt>
                <c:pt idx="14">
                  <c:v>5.639392086922389E-4</c:v>
                </c:pt>
                <c:pt idx="15">
                  <c:v>4.9522648768918827E-4</c:v>
                </c:pt>
                <c:pt idx="16">
                  <c:v>4.3488237012099038E-4</c:v>
                </c:pt>
                <c:pt idx="17">
                  <c:v>3.8188846768286524E-4</c:v>
                </c:pt>
                <c:pt idx="18">
                  <c:v>3.3535013046647919E-4</c:v>
                </c:pt>
                <c:pt idx="19">
                  <c:v>2.9448145593315535E-4</c:v>
                </c:pt>
                <c:pt idx="20">
                  <c:v>2.5859210404929249E-4</c:v>
                </c:pt>
                <c:pt idx="21">
                  <c:v>2.2707570327215026E-4</c:v>
                </c:pt>
                <c:pt idx="22">
                  <c:v>1.9939965721107013E-4</c:v>
                </c:pt>
                <c:pt idx="23">
                  <c:v>1.7509618411481011E-4</c:v>
                </c:pt>
                <c:pt idx="24">
                  <c:v>1.5375444113521004E-4</c:v>
                </c:pt>
                <c:pt idx="25">
                  <c:v>1.3501360285433616E-4</c:v>
                </c:pt>
              </c:numCache>
            </c:numRef>
          </c:val>
          <c:smooth val="0"/>
          <c:extLst>
            <c:ext xmlns:c16="http://schemas.microsoft.com/office/drawing/2014/chart" uri="{C3380CC4-5D6E-409C-BE32-E72D297353CC}">
              <c16:uniqueId val="{00000003-3F23-45A3-802C-5C53727AE09A}"/>
            </c:ext>
          </c:extLst>
        </c:ser>
        <c:ser>
          <c:idx val="4"/>
          <c:order val="4"/>
          <c:tx>
            <c:strRef>
              <c:f>Sheet1!$A$44</c:f>
              <c:strCache>
                <c:ptCount val="1"/>
                <c:pt idx="0">
                  <c:v>Very Low (-2)</c:v>
                </c:pt>
              </c:strCache>
            </c:strRef>
          </c:tx>
          <c:spPr>
            <a:ln>
              <a:prstDash val="sysDot"/>
            </a:ln>
          </c:spPr>
          <c:marker>
            <c:symbol val="none"/>
          </c:marker>
          <c:cat>
            <c:numRef>
              <c:f>Sheet1!$B$47:$AA$47</c:f>
              <c:numCache>
                <c:formatCode>General</c:formatCode>
                <c:ptCount val="2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numCache>
            </c:numRef>
          </c:cat>
          <c:val>
            <c:numRef>
              <c:f>Sheet1!$B$44:$AA$44</c:f>
              <c:numCache>
                <c:formatCode>General</c:formatCode>
                <c:ptCount val="26"/>
                <c:pt idx="0">
                  <c:v>1.8003000697493412E-3</c:v>
                </c:pt>
                <c:pt idx="1">
                  <c:v>1.5811822793922413E-3</c:v>
                </c:pt>
                <c:pt idx="2">
                  <c:v>1.3886966109030003E-3</c:v>
                </c:pt>
                <c:pt idx="3">
                  <c:v>1.21961461565123E-3</c:v>
                </c:pt>
                <c:pt idx="4">
                  <c:v>1.0710972685811901E-3</c:v>
                </c:pt>
                <c:pt idx="5">
                  <c:v>9.4064843963238495E-4</c:v>
                </c:pt>
                <c:pt idx="6">
                  <c:v>8.2607382228596575E-4</c:v>
                </c:pt>
                <c:pt idx="7">
                  <c:v>7.2544470281059618E-4</c:v>
                </c:pt>
                <c:pt idx="8">
                  <c:v>6.3706601787201782E-4</c:v>
                </c:pt>
                <c:pt idx="9">
                  <c:v>5.5944820693992596E-4</c:v>
                </c:pt>
                <c:pt idx="10">
                  <c:v>4.9128241946411958E-4</c:v>
                </c:pt>
                <c:pt idx="11">
                  <c:v>4.3141868530330172E-4</c:v>
                </c:pt>
                <c:pt idx="12">
                  <c:v>3.788467006497624E-4</c:v>
                </c:pt>
                <c:pt idx="13">
                  <c:v>3.326789210183312E-4</c:v>
                </c:pt>
                <c:pt idx="14">
                  <c:v>2.9213568809612924E-4</c:v>
                </c:pt>
                <c:pt idx="15">
                  <c:v>2.5653214872212822E-4</c:v>
                </c:pt>
                <c:pt idx="16">
                  <c:v>2.2526675231836506E-4</c:v>
                </c:pt>
                <c:pt idx="17">
                  <c:v>1.9781113804990513E-4</c:v>
                </c:pt>
                <c:pt idx="18">
                  <c:v>1.7370124515280719E-4</c:v>
                </c:pt>
                <c:pt idx="19">
                  <c:v>1.5252949952229797E-4</c:v>
                </c:pt>
                <c:pt idx="20">
                  <c:v>1.3393794705906508E-4</c:v>
                </c:pt>
                <c:pt idx="21">
                  <c:v>1.1761221967033516E-4</c:v>
                </c:pt>
                <c:pt idx="22">
                  <c:v>1.0327623343253107E-4</c:v>
                </c:pt>
                <c:pt idx="23">
                  <c:v>9.0687530441718213E-5</c:v>
                </c:pt>
                <c:pt idx="24">
                  <c:v>7.9633186485081868E-5</c:v>
                </c:pt>
                <c:pt idx="25">
                  <c:v>6.9926216021376196E-5</c:v>
                </c:pt>
              </c:numCache>
            </c:numRef>
          </c:val>
          <c:smooth val="0"/>
          <c:extLst>
            <c:ext xmlns:c16="http://schemas.microsoft.com/office/drawing/2014/chart" uri="{C3380CC4-5D6E-409C-BE32-E72D297353CC}">
              <c16:uniqueId val="{00000004-3F23-45A3-802C-5C53727AE09A}"/>
            </c:ext>
          </c:extLst>
        </c:ser>
        <c:ser>
          <c:idx val="5"/>
          <c:order val="5"/>
          <c:tx>
            <c:strRef>
              <c:f>Sheet1!$A$45</c:f>
              <c:strCache>
                <c:ptCount val="1"/>
                <c:pt idx="0">
                  <c:v>Desistance</c:v>
                </c:pt>
              </c:strCache>
            </c:strRef>
          </c:tx>
          <c:spPr>
            <a:ln w="19050">
              <a:solidFill>
                <a:schemeClr val="tx1"/>
              </a:solidFill>
            </a:ln>
          </c:spPr>
          <c:marker>
            <c:symbol val="none"/>
          </c:marker>
          <c:cat>
            <c:numRef>
              <c:f>Sheet1!$B$47:$AA$47</c:f>
              <c:numCache>
                <c:formatCode>General</c:formatCode>
                <c:ptCount val="2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numCache>
            </c:numRef>
          </c:cat>
          <c:val>
            <c:numRef>
              <c:f>Sheet1!$B$45:$AA$45</c:f>
              <c:numCache>
                <c:formatCode>General</c:formatCode>
                <c:ptCount val="26"/>
                <c:pt idx="0">
                  <c:v>1.9000000000000013E-3</c:v>
                </c:pt>
                <c:pt idx="1">
                  <c:v>1.9000000000000013E-3</c:v>
                </c:pt>
                <c:pt idx="2">
                  <c:v>1.9000000000000013E-3</c:v>
                </c:pt>
                <c:pt idx="3">
                  <c:v>1.9000000000000013E-3</c:v>
                </c:pt>
                <c:pt idx="4">
                  <c:v>1.9000000000000013E-3</c:v>
                </c:pt>
                <c:pt idx="5">
                  <c:v>1.9000000000000013E-3</c:v>
                </c:pt>
                <c:pt idx="6">
                  <c:v>1.9000000000000013E-3</c:v>
                </c:pt>
                <c:pt idx="7">
                  <c:v>1.9000000000000013E-3</c:v>
                </c:pt>
                <c:pt idx="8">
                  <c:v>1.9000000000000013E-3</c:v>
                </c:pt>
                <c:pt idx="9">
                  <c:v>1.9000000000000013E-3</c:v>
                </c:pt>
                <c:pt idx="10">
                  <c:v>1.9000000000000013E-3</c:v>
                </c:pt>
                <c:pt idx="11">
                  <c:v>1.9000000000000013E-3</c:v>
                </c:pt>
                <c:pt idx="12">
                  <c:v>1.9000000000000013E-3</c:v>
                </c:pt>
                <c:pt idx="13">
                  <c:v>1.9000000000000013E-3</c:v>
                </c:pt>
                <c:pt idx="14">
                  <c:v>1.9000000000000013E-3</c:v>
                </c:pt>
                <c:pt idx="15">
                  <c:v>1.9000000000000013E-3</c:v>
                </c:pt>
                <c:pt idx="16">
                  <c:v>1.9000000000000013E-3</c:v>
                </c:pt>
                <c:pt idx="17">
                  <c:v>1.9000000000000013E-3</c:v>
                </c:pt>
                <c:pt idx="18">
                  <c:v>1.9000000000000013E-3</c:v>
                </c:pt>
                <c:pt idx="19">
                  <c:v>1.9000000000000013E-3</c:v>
                </c:pt>
                <c:pt idx="20">
                  <c:v>1.9000000000000013E-3</c:v>
                </c:pt>
                <c:pt idx="21">
                  <c:v>1.9000000000000013E-3</c:v>
                </c:pt>
                <c:pt idx="22">
                  <c:v>1.9000000000000013E-3</c:v>
                </c:pt>
                <c:pt idx="23">
                  <c:v>1.9000000000000013E-3</c:v>
                </c:pt>
                <c:pt idx="24">
                  <c:v>1.9000000000000013E-3</c:v>
                </c:pt>
                <c:pt idx="25">
                  <c:v>1.9000000000000013E-3</c:v>
                </c:pt>
              </c:numCache>
            </c:numRef>
          </c:val>
          <c:smooth val="0"/>
          <c:extLst>
            <c:ext xmlns:c16="http://schemas.microsoft.com/office/drawing/2014/chart" uri="{C3380CC4-5D6E-409C-BE32-E72D297353CC}">
              <c16:uniqueId val="{00000005-3F23-45A3-802C-5C53727AE09A}"/>
            </c:ext>
          </c:extLst>
        </c:ser>
        <c:dLbls>
          <c:showLegendKey val="0"/>
          <c:showVal val="0"/>
          <c:showCatName val="0"/>
          <c:showSerName val="0"/>
          <c:showPercent val="0"/>
          <c:showBubbleSize val="0"/>
        </c:dLbls>
        <c:smooth val="0"/>
        <c:axId val="188973824"/>
        <c:axId val="188975744"/>
      </c:lineChart>
      <c:catAx>
        <c:axId val="188973824"/>
        <c:scaling>
          <c:orientation val="minMax"/>
        </c:scaling>
        <c:delete val="0"/>
        <c:axPos val="b"/>
        <c:title>
          <c:tx>
            <c:rich>
              <a:bodyPr/>
              <a:lstStyle/>
              <a:p>
                <a:pPr>
                  <a:defRPr sz="1200" baseline="0"/>
                </a:pPr>
                <a:r>
                  <a:rPr lang="en-CA" sz="1200" baseline="0"/>
                  <a:t>Years Sex Offense Free</a:t>
                </a:r>
              </a:p>
            </c:rich>
          </c:tx>
          <c:overlay val="0"/>
        </c:title>
        <c:numFmt formatCode="General" sourceLinked="1"/>
        <c:majorTickMark val="out"/>
        <c:minorTickMark val="none"/>
        <c:tickLblPos val="nextTo"/>
        <c:crossAx val="188975744"/>
        <c:crossesAt val="0"/>
        <c:auto val="1"/>
        <c:lblAlgn val="ctr"/>
        <c:lblOffset val="100"/>
        <c:noMultiLvlLbl val="0"/>
      </c:catAx>
      <c:valAx>
        <c:axId val="188975744"/>
        <c:scaling>
          <c:orientation val="minMax"/>
          <c:min val="0"/>
        </c:scaling>
        <c:delete val="0"/>
        <c:axPos val="l"/>
        <c:majorGridlines/>
        <c:title>
          <c:tx>
            <c:rich>
              <a:bodyPr rot="-5400000" vert="horz"/>
              <a:lstStyle/>
              <a:p>
                <a:pPr>
                  <a:defRPr sz="1200" baseline="0"/>
                </a:pPr>
                <a:r>
                  <a:rPr lang="en-CA" sz="1200" baseline="0"/>
                  <a:t>Estimated 6-Month Hazard</a:t>
                </a:r>
              </a:p>
            </c:rich>
          </c:tx>
          <c:overlay val="0"/>
        </c:title>
        <c:numFmt formatCode="#,##0.000" sourceLinked="0"/>
        <c:majorTickMark val="out"/>
        <c:minorTickMark val="none"/>
        <c:tickLblPos val="nextTo"/>
        <c:txPr>
          <a:bodyPr/>
          <a:lstStyle/>
          <a:p>
            <a:pPr>
              <a:defRPr baseline="0"/>
            </a:pPr>
            <a:endParaRPr lang="en-US"/>
          </a:p>
        </c:txPr>
        <c:crossAx val="188973824"/>
        <c:crossesAt val="1"/>
        <c:crossBetween val="between"/>
      </c:valAx>
    </c:plotArea>
    <c:legend>
      <c:legendPos val="r"/>
      <c:overlay val="0"/>
      <c:txPr>
        <a:bodyPr/>
        <a:lstStyle/>
        <a:p>
          <a:pPr>
            <a:defRPr sz="1200" baseline="0"/>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488D4-FA9A-4ECD-8FA2-FE5A1BF2E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113</Pages>
  <Words>13573</Words>
  <Characters>77371</Characters>
  <Application>Microsoft Office Word</Application>
  <DocSecurity>4</DocSecurity>
  <Lines>644</Lines>
  <Paragraphs>181</Paragraphs>
  <ScaleCrop>false</ScaleCrop>
  <HeadingPairs>
    <vt:vector size="2" baseType="variant">
      <vt:variant>
        <vt:lpstr>Title</vt:lpstr>
      </vt:variant>
      <vt:variant>
        <vt:i4>1</vt:i4>
      </vt:variant>
    </vt:vector>
  </HeadingPairs>
  <TitlesOfParts>
    <vt:vector size="1" baseType="lpstr">
      <vt:lpstr/>
    </vt:vector>
  </TitlesOfParts>
  <Company>PS-SP Canada</Company>
  <LinksUpToDate>false</LinksUpToDate>
  <CharactersWithSpaces>90763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Hanson, Karl</dc:creator>
  <cp:lastModifiedBy>%Valuename1%</cp:lastModifiedBy>
  <cp:revision>2</cp:revision>
  <cp:lastPrinted>2017-04-03T19:42:00Z</cp:lastPrinted>
  <dcterms:created xsi:type="dcterms:W3CDTF">2017-05-12T19:58:00Z</dcterms:created>
  <dcterms:modified xsi:type="dcterms:W3CDTF">2017-05-12T19:58:00Z</dcterms:modified>
</cp:coreProperties>
</file>